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54F73F" w14:textId="23A9989F" w:rsidR="000846CE" w:rsidRDefault="000846CE" w:rsidP="000846CE">
      <w:pPr>
        <w:jc w:val="center"/>
      </w:pPr>
      <w:r>
        <w:rPr>
          <w:noProof/>
        </w:rPr>
        <w:drawing>
          <wp:inline distT="0" distB="0" distL="0" distR="0" wp14:anchorId="69216923" wp14:editId="070F7BF0">
            <wp:extent cx="2520950" cy="1196270"/>
            <wp:effectExtent l="0" t="0" r="0" b="444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3641" cy="1226019"/>
                    </a:xfrm>
                    <a:prstGeom prst="rect">
                      <a:avLst/>
                    </a:prstGeom>
                    <a:noFill/>
                    <a:ln>
                      <a:noFill/>
                    </a:ln>
                  </pic:spPr>
                </pic:pic>
              </a:graphicData>
            </a:graphic>
          </wp:inline>
        </w:drawing>
      </w:r>
    </w:p>
    <w:p w14:paraId="1334BD11" w14:textId="77777777" w:rsidR="000846CE" w:rsidRDefault="000846CE" w:rsidP="000846CE">
      <w:pPr>
        <w:jc w:val="center"/>
      </w:pPr>
    </w:p>
    <w:p w14:paraId="7AC93E26" w14:textId="4662575A" w:rsidR="000846CE" w:rsidRPr="006A3F3A" w:rsidRDefault="000846CE" w:rsidP="000846CE">
      <w:pPr>
        <w:pBdr>
          <w:top w:val="single" w:sz="4" w:space="1" w:color="auto"/>
          <w:left w:val="single" w:sz="4" w:space="4" w:color="auto"/>
          <w:bottom w:val="single" w:sz="4" w:space="1" w:color="auto"/>
          <w:right w:val="single" w:sz="4" w:space="4" w:color="auto"/>
        </w:pBdr>
        <w:spacing w:before="160" w:line="240" w:lineRule="auto"/>
        <w:jc w:val="center"/>
        <w:rPr>
          <w:sz w:val="28"/>
          <w:szCs w:val="28"/>
        </w:rPr>
      </w:pPr>
      <w:r w:rsidRPr="006A3F3A">
        <w:rPr>
          <w:sz w:val="28"/>
          <w:szCs w:val="28"/>
        </w:rPr>
        <w:t>COMPTES ADMINSITRATIFS 2020</w:t>
      </w:r>
    </w:p>
    <w:p w14:paraId="16AB3038" w14:textId="17093219" w:rsidR="000846CE" w:rsidRPr="006A3F3A" w:rsidRDefault="000846CE" w:rsidP="000846CE">
      <w:pPr>
        <w:pBdr>
          <w:top w:val="single" w:sz="4" w:space="1" w:color="auto"/>
          <w:left w:val="single" w:sz="4" w:space="4" w:color="auto"/>
          <w:bottom w:val="single" w:sz="4" w:space="1" w:color="auto"/>
          <w:right w:val="single" w:sz="4" w:space="4" w:color="auto"/>
        </w:pBdr>
        <w:jc w:val="center"/>
        <w:rPr>
          <w:sz w:val="28"/>
          <w:szCs w:val="28"/>
        </w:rPr>
      </w:pPr>
      <w:r w:rsidRPr="006A3F3A">
        <w:rPr>
          <w:sz w:val="28"/>
          <w:szCs w:val="28"/>
        </w:rPr>
        <w:t>PRESENTATION BREVE ET SYNTHETIQUE</w:t>
      </w:r>
    </w:p>
    <w:p w14:paraId="75258E96" w14:textId="229E7E89" w:rsidR="00C06F6C" w:rsidRDefault="00424406" w:rsidP="000846CE">
      <w:pPr>
        <w:spacing w:before="360"/>
        <w:jc w:val="both"/>
      </w:pPr>
      <w:r>
        <w:t xml:space="preserve">En vertu des articles L 2313-1 et L 5211-36 du Code Général des Collectivités Territoriales, une présentation brève et synthétique retraçant les informations financières essentielles est jointe au budget primitif et au compte administratif afin de permettre aux citoyens d'en saisir les enjeux. </w:t>
      </w:r>
    </w:p>
    <w:p w14:paraId="413B4D91" w14:textId="68CB4718" w:rsidR="00424406" w:rsidRDefault="00424406" w:rsidP="00424406">
      <w:pPr>
        <w:jc w:val="both"/>
      </w:pPr>
      <w:r>
        <w:t>Cette note a pour objet de présente</w:t>
      </w:r>
      <w:r w:rsidR="000846CE">
        <w:t>r</w:t>
      </w:r>
      <w:r>
        <w:t xml:space="preserve"> les principales informations et évolutions des comptes administratifs du budget principal de la </w:t>
      </w:r>
      <w:r w:rsidR="000846CE">
        <w:t xml:space="preserve">communauté de </w:t>
      </w:r>
      <w:r>
        <w:t>commune</w:t>
      </w:r>
      <w:r w:rsidR="000846CE">
        <w:t>s</w:t>
      </w:r>
      <w:r>
        <w:t xml:space="preserve"> et des budgets annexes</w:t>
      </w:r>
      <w:r w:rsidR="00D541EE">
        <w:t>, dans un contexte de contraction de l’activité économique, liée aux mesures de confinement de la crise sanitaire</w:t>
      </w:r>
      <w:r>
        <w:t>.</w:t>
      </w:r>
      <w:r w:rsidR="00D541EE">
        <w:t xml:space="preserve"> Cette situation particulière n’a pas eu d’effet sur le niveau de recettes communautaires en 2020, malgré les remises octroyées au gestionnaire du port de plaisance et aux commerçants du port, et ce, en raison </w:t>
      </w:r>
      <w:r w:rsidR="00BA4520">
        <w:t>d’un niveau élevé de recettes fiscales.</w:t>
      </w:r>
    </w:p>
    <w:p w14:paraId="08EBCB54" w14:textId="12318846" w:rsidR="00424406" w:rsidRDefault="00424406" w:rsidP="00424406">
      <w:pPr>
        <w:jc w:val="both"/>
      </w:pPr>
      <w:r>
        <w:t>Le compte administratif 2020 retrace l’ensemble des mandats et des titres de recettes de la Commun</w:t>
      </w:r>
      <w:r w:rsidR="000846CE">
        <w:t>auté de commun</w:t>
      </w:r>
      <w:r>
        <w:t>e</w:t>
      </w:r>
      <w:r w:rsidR="000846CE">
        <w:t>s</w:t>
      </w:r>
      <w:r>
        <w:t>.</w:t>
      </w:r>
    </w:p>
    <w:p w14:paraId="58E41C66" w14:textId="77777777" w:rsidR="00424406" w:rsidRDefault="00424406" w:rsidP="00424406">
      <w:pPr>
        <w:jc w:val="both"/>
      </w:pPr>
      <w:r>
        <w:t>La présente note répond à cette obligation. Elle sera disponible sur le site Internet de la ville.</w:t>
      </w:r>
    </w:p>
    <w:p w14:paraId="42224873" w14:textId="0EB0E94B" w:rsidR="00424406" w:rsidRDefault="00424406" w:rsidP="00424406">
      <w:pPr>
        <w:jc w:val="both"/>
      </w:pPr>
      <w:r>
        <w:t xml:space="preserve">La </w:t>
      </w:r>
      <w:r w:rsidR="000846CE">
        <w:t xml:space="preserve">Communauté de Communes MEDOC ATANTIQUE </w:t>
      </w:r>
      <w:r>
        <w:t xml:space="preserve">dispose de </w:t>
      </w:r>
      <w:r w:rsidR="000846CE">
        <w:t>8</w:t>
      </w:r>
      <w:r>
        <w:t xml:space="preserve"> budgets :</w:t>
      </w:r>
    </w:p>
    <w:p w14:paraId="384243FC" w14:textId="408A262D" w:rsidR="00424406" w:rsidRDefault="00424406" w:rsidP="00424406">
      <w:pPr>
        <w:jc w:val="both"/>
      </w:pPr>
      <w:r>
        <w:t>- Le budget principal de la Commun</w:t>
      </w:r>
      <w:r w:rsidR="00BA4520">
        <w:t>auté de communes,</w:t>
      </w:r>
    </w:p>
    <w:p w14:paraId="0EE75DCC" w14:textId="3EDE12E5" w:rsidR="00BA4520" w:rsidRDefault="00BA4520" w:rsidP="00424406">
      <w:pPr>
        <w:jc w:val="both"/>
      </w:pPr>
      <w:r>
        <w:t>- Le budget annexe « GEMAPI »</w:t>
      </w:r>
    </w:p>
    <w:p w14:paraId="1AE6633C" w14:textId="7D4D8ED7" w:rsidR="00BA4520" w:rsidRDefault="00BA4520" w:rsidP="00424406">
      <w:pPr>
        <w:jc w:val="both"/>
      </w:pPr>
      <w:r>
        <w:t>- Le budget annexe « ZAE Les Bruyères »</w:t>
      </w:r>
    </w:p>
    <w:p w14:paraId="6136FD13" w14:textId="442B904A" w:rsidR="00424406" w:rsidRDefault="00424406" w:rsidP="00424406">
      <w:pPr>
        <w:jc w:val="both"/>
      </w:pPr>
      <w:r>
        <w:t xml:space="preserve">- Le budget annexe </w:t>
      </w:r>
      <w:r w:rsidR="00BA4520">
        <w:t>« ZAE Palu de Bert »</w:t>
      </w:r>
    </w:p>
    <w:p w14:paraId="32A979F6" w14:textId="38452408" w:rsidR="00BA4520" w:rsidRDefault="00BA4520" w:rsidP="00424406">
      <w:pPr>
        <w:jc w:val="both"/>
      </w:pPr>
      <w:r w:rsidRPr="00BA4520">
        <w:t xml:space="preserve">- Le budget annexe </w:t>
      </w:r>
      <w:r>
        <w:t xml:space="preserve">« Extension </w:t>
      </w:r>
      <w:r w:rsidRPr="00BA4520">
        <w:t>ZAE Palu de Bert</w:t>
      </w:r>
      <w:r>
        <w:t> »</w:t>
      </w:r>
    </w:p>
    <w:p w14:paraId="07E7FF8B" w14:textId="4D70391B" w:rsidR="00BA4520" w:rsidRDefault="00424406" w:rsidP="00424406">
      <w:pPr>
        <w:jc w:val="both"/>
      </w:pPr>
      <w:r>
        <w:t xml:space="preserve">- </w:t>
      </w:r>
      <w:r w:rsidR="00BA4520" w:rsidRPr="00BA4520">
        <w:t xml:space="preserve">Le budget annexe </w:t>
      </w:r>
      <w:r w:rsidR="00BA4520">
        <w:t>« </w:t>
      </w:r>
      <w:r w:rsidR="00BA4520" w:rsidRPr="00BA4520">
        <w:t>Extension ZAE</w:t>
      </w:r>
      <w:r w:rsidR="00BA4520">
        <w:t xml:space="preserve"> La Meule »</w:t>
      </w:r>
    </w:p>
    <w:p w14:paraId="52F524DB" w14:textId="4387B696" w:rsidR="00BA4520" w:rsidRDefault="00BA4520" w:rsidP="00424406">
      <w:pPr>
        <w:jc w:val="both"/>
      </w:pPr>
      <w:r>
        <w:t>- Le budget annexe « ZAE du Guadet »</w:t>
      </w:r>
    </w:p>
    <w:p w14:paraId="2B97077F" w14:textId="184B4F32" w:rsidR="00BA4520" w:rsidRDefault="00BA4520">
      <w:r>
        <w:t>- le budget annexe « Indemnisation Immeuble Le Signal »</w:t>
      </w:r>
      <w:r w:rsidR="00424406">
        <w:cr/>
      </w:r>
      <w:r>
        <w:br w:type="page"/>
      </w:r>
    </w:p>
    <w:p w14:paraId="7368FA49" w14:textId="77777777" w:rsidR="00BA4520" w:rsidRPr="006341D4" w:rsidRDefault="00BA4520" w:rsidP="006341D4">
      <w:pPr>
        <w:pStyle w:val="Titre1"/>
        <w:rPr>
          <w:rFonts w:ascii="Khmer UI" w:hAnsi="Khmer UI" w:cs="Khmer UI"/>
          <w:b/>
          <w:bCs/>
          <w:color w:val="auto"/>
          <w:sz w:val="28"/>
          <w:szCs w:val="28"/>
        </w:rPr>
      </w:pPr>
      <w:r w:rsidRPr="006341D4">
        <w:rPr>
          <w:rFonts w:ascii="Khmer UI" w:hAnsi="Khmer UI" w:cs="Khmer UI"/>
          <w:b/>
          <w:bCs/>
          <w:color w:val="auto"/>
          <w:sz w:val="28"/>
          <w:szCs w:val="28"/>
        </w:rPr>
        <w:lastRenderedPageBreak/>
        <w:t>BUDGET PRINCIPAL</w:t>
      </w:r>
    </w:p>
    <w:p w14:paraId="2200A168" w14:textId="13050B7C" w:rsidR="00BA4520" w:rsidRDefault="00BA4520" w:rsidP="006341D4">
      <w:pPr>
        <w:spacing w:before="240"/>
        <w:jc w:val="both"/>
      </w:pPr>
      <w:r>
        <w:t xml:space="preserve">A la clôture de l’exercice 2020, le compte administratif du budget principal fait apparaître un résultat global de </w:t>
      </w:r>
      <w:r w:rsidR="007D57DA">
        <w:t>4</w:t>
      </w:r>
      <w:r>
        <w:t xml:space="preserve"> </w:t>
      </w:r>
      <w:r w:rsidR="007D57DA">
        <w:t>808 910,37</w:t>
      </w:r>
      <w:r>
        <w:t xml:space="preserve"> € se décomposant comme suit :</w:t>
      </w:r>
    </w:p>
    <w:p w14:paraId="0D3CE50E" w14:textId="37C1CE7A" w:rsidR="00BA4520" w:rsidRDefault="00BA4520" w:rsidP="00C33256">
      <w:pPr>
        <w:pStyle w:val="Paragraphedeliste"/>
        <w:numPr>
          <w:ilvl w:val="0"/>
          <w:numId w:val="18"/>
        </w:numPr>
        <w:jc w:val="both"/>
      </w:pPr>
      <w:r>
        <w:t xml:space="preserve">Investissement : </w:t>
      </w:r>
      <w:r w:rsidR="007D57DA">
        <w:t>- 1 778 601,71 €</w:t>
      </w:r>
    </w:p>
    <w:p w14:paraId="742C0E7E" w14:textId="2DACB691" w:rsidR="00BA4520" w:rsidRDefault="00BA4520" w:rsidP="00C33256">
      <w:pPr>
        <w:pStyle w:val="Paragraphedeliste"/>
        <w:numPr>
          <w:ilvl w:val="0"/>
          <w:numId w:val="18"/>
        </w:numPr>
        <w:jc w:val="both"/>
      </w:pPr>
      <w:r>
        <w:t xml:space="preserve">Fonctionnement : </w:t>
      </w:r>
      <w:r w:rsidR="007D57DA">
        <w:t>6 587 512,08 €</w:t>
      </w:r>
    </w:p>
    <w:p w14:paraId="5934F1C1" w14:textId="77777777" w:rsidR="00BA4520" w:rsidRPr="00F55502" w:rsidRDefault="00BA4520" w:rsidP="00BA4520">
      <w:pPr>
        <w:jc w:val="both"/>
        <w:rPr>
          <w:b/>
          <w:bCs/>
          <w:i/>
          <w:iCs/>
        </w:rPr>
      </w:pPr>
      <w:r w:rsidRPr="00F55502">
        <w:rPr>
          <w:b/>
          <w:bCs/>
          <w:i/>
          <w:iCs/>
        </w:rPr>
        <w:t>SECTION DE FONCTIONNEMENT</w:t>
      </w:r>
    </w:p>
    <w:p w14:paraId="7F4162A6" w14:textId="01808978" w:rsidR="00BA4520" w:rsidRDefault="00BA4520" w:rsidP="00BA4520">
      <w:pPr>
        <w:jc w:val="both"/>
      </w:pPr>
      <w:r>
        <w:t>La section de fonctionnement permet à notre collectivité d’assurer le quotidien. Elle regroupe l’ensemble des dépenses et des recettes nécessaires au fonctionnement courant et récurrent des services communautaires.</w:t>
      </w:r>
    </w:p>
    <w:tbl>
      <w:tblPr>
        <w:tblW w:w="8600" w:type="dxa"/>
        <w:jc w:val="center"/>
        <w:tblCellMar>
          <w:left w:w="70" w:type="dxa"/>
          <w:right w:w="70" w:type="dxa"/>
        </w:tblCellMar>
        <w:tblLook w:val="04A0" w:firstRow="1" w:lastRow="0" w:firstColumn="1" w:lastColumn="0" w:noHBand="0" w:noVBand="1"/>
      </w:tblPr>
      <w:tblGrid>
        <w:gridCol w:w="6040"/>
        <w:gridCol w:w="2560"/>
      </w:tblGrid>
      <w:tr w:rsidR="007D57DA" w:rsidRPr="007D57DA" w14:paraId="72067445" w14:textId="77777777" w:rsidTr="00EE7A45">
        <w:trPr>
          <w:trHeight w:val="288"/>
          <w:jc w:val="center"/>
        </w:trPr>
        <w:tc>
          <w:tcPr>
            <w:tcW w:w="6040" w:type="dxa"/>
            <w:tcBorders>
              <w:top w:val="single" w:sz="4" w:space="0" w:color="auto"/>
              <w:left w:val="single" w:sz="4" w:space="0" w:color="auto"/>
              <w:bottom w:val="single" w:sz="4" w:space="0" w:color="auto"/>
              <w:right w:val="single" w:sz="4" w:space="0" w:color="auto"/>
            </w:tcBorders>
            <w:shd w:val="clear" w:color="000000" w:fill="8EA9DB"/>
            <w:noWrap/>
            <w:hideMark/>
          </w:tcPr>
          <w:p w14:paraId="06B63F0E"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Fonctionnement - Dépense</w:t>
            </w:r>
          </w:p>
        </w:tc>
        <w:tc>
          <w:tcPr>
            <w:tcW w:w="2560" w:type="dxa"/>
            <w:tcBorders>
              <w:top w:val="single" w:sz="4" w:space="0" w:color="auto"/>
              <w:left w:val="nil"/>
              <w:bottom w:val="single" w:sz="4" w:space="0" w:color="auto"/>
              <w:right w:val="single" w:sz="4" w:space="0" w:color="auto"/>
            </w:tcBorders>
            <w:shd w:val="clear" w:color="000000" w:fill="8EA9DB"/>
            <w:noWrap/>
            <w:hideMark/>
          </w:tcPr>
          <w:p w14:paraId="189D9FC1"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18 433 214,72 €</w:t>
            </w:r>
          </w:p>
        </w:tc>
      </w:tr>
      <w:tr w:rsidR="007D57DA" w:rsidRPr="007D57DA" w14:paraId="6E27D037"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000000" w:fill="FFFFFF"/>
            <w:noWrap/>
            <w:hideMark/>
          </w:tcPr>
          <w:p w14:paraId="7CA76E01"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011 - Charges à caractère général</w:t>
            </w:r>
          </w:p>
        </w:tc>
        <w:tc>
          <w:tcPr>
            <w:tcW w:w="2560" w:type="dxa"/>
            <w:tcBorders>
              <w:top w:val="nil"/>
              <w:left w:val="nil"/>
              <w:bottom w:val="single" w:sz="4" w:space="0" w:color="auto"/>
              <w:right w:val="single" w:sz="4" w:space="0" w:color="auto"/>
            </w:tcBorders>
            <w:shd w:val="clear" w:color="000000" w:fill="FFFFFF"/>
            <w:noWrap/>
            <w:hideMark/>
          </w:tcPr>
          <w:p w14:paraId="3E340EC7"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1 726 362,28 €</w:t>
            </w:r>
          </w:p>
        </w:tc>
      </w:tr>
      <w:tr w:rsidR="007D57DA" w:rsidRPr="007D57DA" w14:paraId="12B53C21"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086BCBB7"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012 - Charges de personnel et frais assimilés</w:t>
            </w:r>
          </w:p>
        </w:tc>
        <w:tc>
          <w:tcPr>
            <w:tcW w:w="2560" w:type="dxa"/>
            <w:tcBorders>
              <w:top w:val="nil"/>
              <w:left w:val="nil"/>
              <w:bottom w:val="single" w:sz="4" w:space="0" w:color="auto"/>
              <w:right w:val="single" w:sz="4" w:space="0" w:color="auto"/>
            </w:tcBorders>
            <w:shd w:val="clear" w:color="auto" w:fill="auto"/>
            <w:noWrap/>
            <w:hideMark/>
          </w:tcPr>
          <w:p w14:paraId="2A72D72A"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2 259 074,82 €</w:t>
            </w:r>
          </w:p>
        </w:tc>
      </w:tr>
      <w:tr w:rsidR="007D57DA" w:rsidRPr="007D57DA" w14:paraId="1F996958"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4DD0779C"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014 - Atténuations de produits</w:t>
            </w:r>
          </w:p>
        </w:tc>
        <w:tc>
          <w:tcPr>
            <w:tcW w:w="2560" w:type="dxa"/>
            <w:tcBorders>
              <w:top w:val="nil"/>
              <w:left w:val="nil"/>
              <w:bottom w:val="single" w:sz="4" w:space="0" w:color="auto"/>
              <w:right w:val="single" w:sz="4" w:space="0" w:color="auto"/>
            </w:tcBorders>
            <w:shd w:val="clear" w:color="auto" w:fill="auto"/>
            <w:noWrap/>
            <w:hideMark/>
          </w:tcPr>
          <w:p w14:paraId="5189694C"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7 790 131,81 €</w:t>
            </w:r>
          </w:p>
        </w:tc>
      </w:tr>
      <w:tr w:rsidR="007D57DA" w:rsidRPr="007D57DA" w14:paraId="014BD281"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5B6B1B8D" w14:textId="12012C8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022 - Dépenses imprévues (fonctionnement)</w:t>
            </w:r>
          </w:p>
        </w:tc>
        <w:tc>
          <w:tcPr>
            <w:tcW w:w="2560" w:type="dxa"/>
            <w:tcBorders>
              <w:top w:val="nil"/>
              <w:left w:val="nil"/>
              <w:bottom w:val="single" w:sz="4" w:space="0" w:color="auto"/>
              <w:right w:val="single" w:sz="4" w:space="0" w:color="auto"/>
            </w:tcBorders>
            <w:shd w:val="clear" w:color="auto" w:fill="auto"/>
            <w:noWrap/>
            <w:hideMark/>
          </w:tcPr>
          <w:p w14:paraId="370CCE1C"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0,00 €</w:t>
            </w:r>
          </w:p>
        </w:tc>
      </w:tr>
      <w:tr w:rsidR="007D57DA" w:rsidRPr="007D57DA" w14:paraId="66FF2F26"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54D75988"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023 - Virement à la section d'investissement</w:t>
            </w:r>
          </w:p>
        </w:tc>
        <w:tc>
          <w:tcPr>
            <w:tcW w:w="2560" w:type="dxa"/>
            <w:tcBorders>
              <w:top w:val="nil"/>
              <w:left w:val="nil"/>
              <w:bottom w:val="single" w:sz="4" w:space="0" w:color="auto"/>
              <w:right w:val="single" w:sz="4" w:space="0" w:color="auto"/>
            </w:tcBorders>
            <w:shd w:val="clear" w:color="auto" w:fill="auto"/>
            <w:noWrap/>
            <w:hideMark/>
          </w:tcPr>
          <w:p w14:paraId="649298DC"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0,00 €</w:t>
            </w:r>
          </w:p>
        </w:tc>
      </w:tr>
      <w:tr w:rsidR="007D57DA" w:rsidRPr="007D57DA" w14:paraId="36421997"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66C0AEFA"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042 - Opérations d'ordre de transfert entre sections</w:t>
            </w:r>
          </w:p>
        </w:tc>
        <w:tc>
          <w:tcPr>
            <w:tcW w:w="2560" w:type="dxa"/>
            <w:tcBorders>
              <w:top w:val="nil"/>
              <w:left w:val="nil"/>
              <w:bottom w:val="single" w:sz="4" w:space="0" w:color="auto"/>
              <w:right w:val="single" w:sz="4" w:space="0" w:color="auto"/>
            </w:tcBorders>
            <w:shd w:val="clear" w:color="auto" w:fill="auto"/>
            <w:noWrap/>
            <w:hideMark/>
          </w:tcPr>
          <w:p w14:paraId="0905956D"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521 676,25 €</w:t>
            </w:r>
          </w:p>
        </w:tc>
      </w:tr>
      <w:tr w:rsidR="007D57DA" w:rsidRPr="007D57DA" w14:paraId="526AF95D"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20DC8907"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65 - Autres charges de gestion courante</w:t>
            </w:r>
          </w:p>
        </w:tc>
        <w:tc>
          <w:tcPr>
            <w:tcW w:w="2560" w:type="dxa"/>
            <w:tcBorders>
              <w:top w:val="nil"/>
              <w:left w:val="nil"/>
              <w:bottom w:val="single" w:sz="4" w:space="0" w:color="auto"/>
              <w:right w:val="single" w:sz="4" w:space="0" w:color="auto"/>
            </w:tcBorders>
            <w:shd w:val="clear" w:color="auto" w:fill="auto"/>
            <w:noWrap/>
            <w:hideMark/>
          </w:tcPr>
          <w:p w14:paraId="47819CD9"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5 882 773,25 €</w:t>
            </w:r>
          </w:p>
        </w:tc>
      </w:tr>
      <w:tr w:rsidR="007D57DA" w:rsidRPr="007D57DA" w14:paraId="74827244"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6CED3807"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66 - Charges financières</w:t>
            </w:r>
          </w:p>
        </w:tc>
        <w:tc>
          <w:tcPr>
            <w:tcW w:w="2560" w:type="dxa"/>
            <w:tcBorders>
              <w:top w:val="nil"/>
              <w:left w:val="nil"/>
              <w:bottom w:val="single" w:sz="4" w:space="0" w:color="auto"/>
              <w:right w:val="single" w:sz="4" w:space="0" w:color="auto"/>
            </w:tcBorders>
            <w:shd w:val="clear" w:color="auto" w:fill="auto"/>
            <w:noWrap/>
            <w:hideMark/>
          </w:tcPr>
          <w:p w14:paraId="638B5D2D"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252 941,31 €</w:t>
            </w:r>
          </w:p>
        </w:tc>
      </w:tr>
      <w:tr w:rsidR="007D57DA" w:rsidRPr="007D57DA" w14:paraId="4333CF83"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4B66A29F"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67 - Charges exceptionnelles</w:t>
            </w:r>
          </w:p>
        </w:tc>
        <w:tc>
          <w:tcPr>
            <w:tcW w:w="2560" w:type="dxa"/>
            <w:tcBorders>
              <w:top w:val="nil"/>
              <w:left w:val="nil"/>
              <w:bottom w:val="single" w:sz="4" w:space="0" w:color="auto"/>
              <w:right w:val="single" w:sz="4" w:space="0" w:color="auto"/>
            </w:tcBorders>
            <w:shd w:val="clear" w:color="auto" w:fill="auto"/>
            <w:noWrap/>
            <w:hideMark/>
          </w:tcPr>
          <w:p w14:paraId="3B799AC8"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255,00 €</w:t>
            </w:r>
          </w:p>
        </w:tc>
      </w:tr>
      <w:tr w:rsidR="007D57DA" w:rsidRPr="007D57DA" w14:paraId="653257E3"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000000" w:fill="8EA9DB"/>
            <w:noWrap/>
            <w:hideMark/>
          </w:tcPr>
          <w:p w14:paraId="35AC9ACC"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Fonctionnement - Recette</w:t>
            </w:r>
          </w:p>
        </w:tc>
        <w:tc>
          <w:tcPr>
            <w:tcW w:w="2560" w:type="dxa"/>
            <w:tcBorders>
              <w:top w:val="nil"/>
              <w:left w:val="nil"/>
              <w:bottom w:val="single" w:sz="4" w:space="0" w:color="auto"/>
              <w:right w:val="single" w:sz="4" w:space="0" w:color="auto"/>
            </w:tcBorders>
            <w:shd w:val="clear" w:color="000000" w:fill="8EA9DB"/>
            <w:noWrap/>
            <w:hideMark/>
          </w:tcPr>
          <w:p w14:paraId="39BB6584"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25 020 726,80 €</w:t>
            </w:r>
          </w:p>
        </w:tc>
      </w:tr>
      <w:tr w:rsidR="007D57DA" w:rsidRPr="007D57DA" w14:paraId="426DBF5A"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57627E9F"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002 - Résultat de fonctionnement reporté (excédent ou déficit)</w:t>
            </w:r>
          </w:p>
        </w:tc>
        <w:tc>
          <w:tcPr>
            <w:tcW w:w="2560" w:type="dxa"/>
            <w:tcBorders>
              <w:top w:val="nil"/>
              <w:left w:val="nil"/>
              <w:bottom w:val="single" w:sz="4" w:space="0" w:color="auto"/>
              <w:right w:val="single" w:sz="4" w:space="0" w:color="auto"/>
            </w:tcBorders>
            <w:shd w:val="clear" w:color="auto" w:fill="auto"/>
            <w:noWrap/>
            <w:hideMark/>
          </w:tcPr>
          <w:p w14:paraId="78A08DD3"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3 374 036,31 €</w:t>
            </w:r>
          </w:p>
        </w:tc>
      </w:tr>
      <w:tr w:rsidR="007D57DA" w:rsidRPr="007D57DA" w14:paraId="69FC1892"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0752C886"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013 - Atténuations de charges</w:t>
            </w:r>
          </w:p>
        </w:tc>
        <w:tc>
          <w:tcPr>
            <w:tcW w:w="2560" w:type="dxa"/>
            <w:tcBorders>
              <w:top w:val="nil"/>
              <w:left w:val="nil"/>
              <w:bottom w:val="single" w:sz="4" w:space="0" w:color="auto"/>
              <w:right w:val="single" w:sz="4" w:space="0" w:color="auto"/>
            </w:tcBorders>
            <w:shd w:val="clear" w:color="auto" w:fill="auto"/>
            <w:noWrap/>
            <w:hideMark/>
          </w:tcPr>
          <w:p w14:paraId="0DE37494"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54 968,42 €</w:t>
            </w:r>
          </w:p>
        </w:tc>
      </w:tr>
      <w:tr w:rsidR="007D57DA" w:rsidRPr="007D57DA" w14:paraId="59349A20"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07478BD5"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042 - Opérations d'ordre de transfert entre sections</w:t>
            </w:r>
          </w:p>
        </w:tc>
        <w:tc>
          <w:tcPr>
            <w:tcW w:w="2560" w:type="dxa"/>
            <w:tcBorders>
              <w:top w:val="nil"/>
              <w:left w:val="nil"/>
              <w:bottom w:val="single" w:sz="4" w:space="0" w:color="auto"/>
              <w:right w:val="single" w:sz="4" w:space="0" w:color="auto"/>
            </w:tcBorders>
            <w:shd w:val="clear" w:color="auto" w:fill="auto"/>
            <w:noWrap/>
            <w:hideMark/>
          </w:tcPr>
          <w:p w14:paraId="5ECC2858"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71 646,21 €</w:t>
            </w:r>
          </w:p>
        </w:tc>
      </w:tr>
      <w:tr w:rsidR="007D57DA" w:rsidRPr="007D57DA" w14:paraId="75D19326"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52099584"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70 - Produits des services, du domaine et ventes diverses</w:t>
            </w:r>
          </w:p>
        </w:tc>
        <w:tc>
          <w:tcPr>
            <w:tcW w:w="2560" w:type="dxa"/>
            <w:tcBorders>
              <w:top w:val="nil"/>
              <w:left w:val="nil"/>
              <w:bottom w:val="single" w:sz="4" w:space="0" w:color="auto"/>
              <w:right w:val="single" w:sz="4" w:space="0" w:color="auto"/>
            </w:tcBorders>
            <w:shd w:val="clear" w:color="auto" w:fill="auto"/>
            <w:noWrap/>
            <w:hideMark/>
          </w:tcPr>
          <w:p w14:paraId="54B9C544"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1 327 611,74 €</w:t>
            </w:r>
          </w:p>
        </w:tc>
      </w:tr>
      <w:tr w:rsidR="007D57DA" w:rsidRPr="007D57DA" w14:paraId="2AFD8659"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040703A8"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73 - Impôts et taxes</w:t>
            </w:r>
          </w:p>
        </w:tc>
        <w:tc>
          <w:tcPr>
            <w:tcW w:w="2560" w:type="dxa"/>
            <w:tcBorders>
              <w:top w:val="nil"/>
              <w:left w:val="nil"/>
              <w:bottom w:val="single" w:sz="4" w:space="0" w:color="auto"/>
              <w:right w:val="single" w:sz="4" w:space="0" w:color="auto"/>
            </w:tcBorders>
            <w:shd w:val="clear" w:color="auto" w:fill="auto"/>
            <w:noWrap/>
            <w:hideMark/>
          </w:tcPr>
          <w:p w14:paraId="1C23F869"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17 013 015,57 €</w:t>
            </w:r>
          </w:p>
        </w:tc>
      </w:tr>
      <w:tr w:rsidR="007D57DA" w:rsidRPr="007D57DA" w14:paraId="4310C642"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5B17D2A1"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74 - Dotations, subventions et participations</w:t>
            </w:r>
          </w:p>
        </w:tc>
        <w:tc>
          <w:tcPr>
            <w:tcW w:w="2560" w:type="dxa"/>
            <w:tcBorders>
              <w:top w:val="nil"/>
              <w:left w:val="nil"/>
              <w:bottom w:val="single" w:sz="4" w:space="0" w:color="auto"/>
              <w:right w:val="single" w:sz="4" w:space="0" w:color="auto"/>
            </w:tcBorders>
            <w:shd w:val="clear" w:color="auto" w:fill="auto"/>
            <w:noWrap/>
            <w:hideMark/>
          </w:tcPr>
          <w:p w14:paraId="3BF86393"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2 294 953,94 €</w:t>
            </w:r>
          </w:p>
        </w:tc>
      </w:tr>
      <w:tr w:rsidR="007D57DA" w:rsidRPr="007D57DA" w14:paraId="5A00B439"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7592B33B"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75 - Autres produits de gestion courante</w:t>
            </w:r>
          </w:p>
        </w:tc>
        <w:tc>
          <w:tcPr>
            <w:tcW w:w="2560" w:type="dxa"/>
            <w:tcBorders>
              <w:top w:val="nil"/>
              <w:left w:val="nil"/>
              <w:bottom w:val="single" w:sz="4" w:space="0" w:color="auto"/>
              <w:right w:val="single" w:sz="4" w:space="0" w:color="auto"/>
            </w:tcBorders>
            <w:shd w:val="clear" w:color="auto" w:fill="auto"/>
            <w:noWrap/>
            <w:hideMark/>
          </w:tcPr>
          <w:p w14:paraId="17F2D5CC"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22 502,76 €</w:t>
            </w:r>
          </w:p>
        </w:tc>
      </w:tr>
      <w:tr w:rsidR="007D57DA" w:rsidRPr="007D57DA" w14:paraId="4838B16F"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680EC2A0"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77 - Produits exceptionnels</w:t>
            </w:r>
          </w:p>
        </w:tc>
        <w:tc>
          <w:tcPr>
            <w:tcW w:w="2560" w:type="dxa"/>
            <w:tcBorders>
              <w:top w:val="nil"/>
              <w:left w:val="nil"/>
              <w:bottom w:val="single" w:sz="4" w:space="0" w:color="auto"/>
              <w:right w:val="single" w:sz="4" w:space="0" w:color="auto"/>
            </w:tcBorders>
            <w:shd w:val="clear" w:color="auto" w:fill="auto"/>
            <w:noWrap/>
            <w:hideMark/>
          </w:tcPr>
          <w:p w14:paraId="194D5EC0"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31 991,85 €</w:t>
            </w:r>
          </w:p>
        </w:tc>
      </w:tr>
      <w:tr w:rsidR="007D57DA" w:rsidRPr="007D57DA" w14:paraId="11EBC902"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41FBC651" w14:textId="77777777" w:rsidR="007D57DA" w:rsidRPr="007D57DA" w:rsidRDefault="007D57DA" w:rsidP="007D57DA">
            <w:pPr>
              <w:spacing w:after="0" w:line="240" w:lineRule="auto"/>
              <w:rPr>
                <w:rFonts w:ascii="Arial" w:eastAsia="Times New Roman" w:hAnsi="Arial" w:cs="Arial"/>
                <w:color w:val="000000"/>
                <w:sz w:val="20"/>
                <w:szCs w:val="20"/>
                <w:lang w:eastAsia="fr-FR"/>
              </w:rPr>
            </w:pPr>
            <w:r w:rsidRPr="007D57DA">
              <w:rPr>
                <w:rFonts w:ascii="Arial" w:eastAsia="Times New Roman" w:hAnsi="Arial" w:cs="Arial"/>
                <w:color w:val="000000"/>
                <w:sz w:val="20"/>
                <w:szCs w:val="20"/>
                <w:lang w:eastAsia="fr-FR"/>
              </w:rPr>
              <w:t>78 - Reprises sur amortissements et provisions</w:t>
            </w:r>
          </w:p>
        </w:tc>
        <w:tc>
          <w:tcPr>
            <w:tcW w:w="2560" w:type="dxa"/>
            <w:tcBorders>
              <w:top w:val="nil"/>
              <w:left w:val="nil"/>
              <w:bottom w:val="single" w:sz="4" w:space="0" w:color="auto"/>
              <w:right w:val="single" w:sz="4" w:space="0" w:color="auto"/>
            </w:tcBorders>
            <w:shd w:val="clear" w:color="auto" w:fill="auto"/>
            <w:noWrap/>
            <w:hideMark/>
          </w:tcPr>
          <w:p w14:paraId="72F3E6D7"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830 000,00 €</w:t>
            </w:r>
          </w:p>
        </w:tc>
      </w:tr>
      <w:tr w:rsidR="007D57DA" w:rsidRPr="007D57DA" w14:paraId="6ED48455"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1D8B11CB" w14:textId="77777777" w:rsidR="007D57DA" w:rsidRPr="007D57DA" w:rsidRDefault="007D57DA" w:rsidP="007D57DA">
            <w:pPr>
              <w:spacing w:after="0" w:line="240" w:lineRule="auto"/>
              <w:rPr>
                <w:rFonts w:ascii="Calibri" w:eastAsia="Times New Roman" w:hAnsi="Calibri" w:cs="Calibri"/>
                <w:b/>
                <w:bCs/>
                <w:color w:val="000000"/>
                <w:lang w:eastAsia="fr-FR"/>
              </w:rPr>
            </w:pPr>
            <w:r w:rsidRPr="007D57DA">
              <w:rPr>
                <w:rFonts w:ascii="Calibri" w:eastAsia="Times New Roman" w:hAnsi="Calibri" w:cs="Calibri"/>
                <w:b/>
                <w:bCs/>
                <w:color w:val="000000"/>
                <w:lang w:eastAsia="fr-FR"/>
              </w:rPr>
              <w:t>RESULTAT</w:t>
            </w:r>
          </w:p>
        </w:tc>
        <w:tc>
          <w:tcPr>
            <w:tcW w:w="2560" w:type="dxa"/>
            <w:tcBorders>
              <w:top w:val="nil"/>
              <w:left w:val="nil"/>
              <w:bottom w:val="single" w:sz="4" w:space="0" w:color="auto"/>
              <w:right w:val="single" w:sz="4" w:space="0" w:color="auto"/>
            </w:tcBorders>
            <w:shd w:val="clear" w:color="auto" w:fill="auto"/>
            <w:noWrap/>
            <w:hideMark/>
          </w:tcPr>
          <w:p w14:paraId="7B3657D5" w14:textId="77777777" w:rsidR="007D57DA" w:rsidRPr="007D57DA" w:rsidRDefault="007D57DA" w:rsidP="007D57DA">
            <w:pPr>
              <w:spacing w:after="0" w:line="240" w:lineRule="auto"/>
              <w:jc w:val="right"/>
              <w:rPr>
                <w:rFonts w:ascii="Calibri" w:eastAsia="Times New Roman" w:hAnsi="Calibri" w:cs="Calibri"/>
                <w:b/>
                <w:bCs/>
                <w:color w:val="000000"/>
                <w:lang w:eastAsia="fr-FR"/>
              </w:rPr>
            </w:pPr>
            <w:r w:rsidRPr="007D57DA">
              <w:rPr>
                <w:rFonts w:ascii="Calibri" w:eastAsia="Times New Roman" w:hAnsi="Calibri" w:cs="Calibri"/>
                <w:b/>
                <w:bCs/>
                <w:color w:val="000000"/>
                <w:lang w:eastAsia="fr-FR"/>
              </w:rPr>
              <w:t>6 587 512,08 €</w:t>
            </w:r>
          </w:p>
        </w:tc>
      </w:tr>
    </w:tbl>
    <w:p w14:paraId="0BA27B12" w14:textId="77777777" w:rsidR="002F7CE9" w:rsidRDefault="002F7CE9" w:rsidP="002F7CE9">
      <w:pPr>
        <w:jc w:val="both"/>
      </w:pPr>
    </w:p>
    <w:p w14:paraId="2E47CE19" w14:textId="4B5C436C" w:rsidR="00A855A2" w:rsidRDefault="00A855A2" w:rsidP="00A855A2">
      <w:pPr>
        <w:jc w:val="both"/>
      </w:pPr>
      <w:r>
        <w:t>Le chapitre 011 présente les dépenses à caractère général pour le fonctionnement des structures et des services : eau, électricité, téléphone, chauffage, carburant, fournitures</w:t>
      </w:r>
      <w:r w:rsidR="000D03F4">
        <w:t xml:space="preserve"> </w:t>
      </w:r>
      <w:r>
        <w:t>administratives, frais d’affranchissement, livres de bibliothèque, les fournitures et travaux</w:t>
      </w:r>
      <w:r w:rsidR="000D03F4">
        <w:t xml:space="preserve"> </w:t>
      </w:r>
      <w:r>
        <w:t>d’entretien des bâtiments, les impôts et taxes payées par la commune, les primes</w:t>
      </w:r>
      <w:r w:rsidR="000D03F4">
        <w:t xml:space="preserve"> </w:t>
      </w:r>
      <w:r>
        <w:t>d’assurance.</w:t>
      </w:r>
    </w:p>
    <w:p w14:paraId="77369CC0" w14:textId="70B8A158" w:rsidR="00A855A2" w:rsidRDefault="000D03F4" w:rsidP="00A855A2">
      <w:pPr>
        <w:jc w:val="both"/>
      </w:pPr>
      <w:r>
        <w:t>Le c</w:t>
      </w:r>
      <w:r w:rsidR="00A855A2">
        <w:t>hapitre 012 regroupe toutes les dépenses de personnel</w:t>
      </w:r>
      <w:r>
        <w:t xml:space="preserve"> permanent et saisonnier, à temps complet ou à temps partiel.</w:t>
      </w:r>
      <w:r w:rsidR="00807EF3">
        <w:t xml:space="preserve"> En 2020, la communauté de communes comportait </w:t>
      </w:r>
      <w:r w:rsidR="00A069C7">
        <w:t xml:space="preserve">147 agents, </w:t>
      </w:r>
      <w:r w:rsidR="00807EF3">
        <w:t>tous statu</w:t>
      </w:r>
      <w:r w:rsidR="00A069C7">
        <w:t>t</w:t>
      </w:r>
      <w:r w:rsidR="00807EF3">
        <w:t>s confondus</w:t>
      </w:r>
      <w:r w:rsidR="00A069C7">
        <w:t>, représentant une charge de rémunération brute totale de 2 136 702 €.</w:t>
      </w:r>
    </w:p>
    <w:p w14:paraId="052869DD" w14:textId="667C63DE" w:rsidR="00A855A2" w:rsidRDefault="000D03F4" w:rsidP="00A855A2">
      <w:pPr>
        <w:jc w:val="both"/>
      </w:pPr>
      <w:r>
        <w:t>Le c</w:t>
      </w:r>
      <w:r w:rsidR="00A855A2">
        <w:t xml:space="preserve">hapitre 014 </w:t>
      </w:r>
      <w:r>
        <w:t>recense notamment</w:t>
      </w:r>
      <w:r w:rsidR="00A855A2">
        <w:t xml:space="preserve"> de l’attribution de compensation </w:t>
      </w:r>
      <w:r>
        <w:t>aux communes (2 088 197 €), le versement au FNGIR (3 502 420 €) et le reversement de taxe de séjour à l’office de tourisme.</w:t>
      </w:r>
    </w:p>
    <w:p w14:paraId="6C29B6FE" w14:textId="57AEE26E" w:rsidR="00622F9D" w:rsidRDefault="000D03F4" w:rsidP="00622F9D">
      <w:pPr>
        <w:jc w:val="both"/>
      </w:pPr>
      <w:r>
        <w:lastRenderedPageBreak/>
        <w:t>Le c</w:t>
      </w:r>
      <w:r w:rsidR="00A855A2">
        <w:t xml:space="preserve">hapitre 65 retrace </w:t>
      </w:r>
      <w:r w:rsidR="00622F9D">
        <w:t>notamment les paiements de la cotisation au SDIS et au Parc Naturel Régional, du reversement au SMICOTOM, du</w:t>
      </w:r>
      <w:r w:rsidR="00A855A2">
        <w:t xml:space="preserve"> versement des indemnités et cotisations des élus</w:t>
      </w:r>
      <w:r w:rsidR="00622F9D">
        <w:t>,</w:t>
      </w:r>
      <w:r w:rsidR="00A855A2">
        <w:t xml:space="preserve"> </w:t>
      </w:r>
      <w:r w:rsidR="00622F9D">
        <w:t>d</w:t>
      </w:r>
      <w:r w:rsidR="00A855A2">
        <w:t>es subventions de fonctionnement aux associations</w:t>
      </w:r>
      <w:r w:rsidR="00622F9D">
        <w:t>.</w:t>
      </w:r>
    </w:p>
    <w:p w14:paraId="0C46CCA6" w14:textId="0071CD47" w:rsidR="000D03F4" w:rsidRDefault="000D03F4" w:rsidP="000D03F4">
      <w:pPr>
        <w:jc w:val="both"/>
      </w:pPr>
      <w:r>
        <w:t>Le chapitre 66 port sur le remboursement des intérêts de la dette.</w:t>
      </w:r>
    </w:p>
    <w:p w14:paraId="1325AC09" w14:textId="7305F988" w:rsidR="000D03F4" w:rsidRDefault="000D03F4" w:rsidP="000D03F4">
      <w:pPr>
        <w:jc w:val="both"/>
      </w:pPr>
      <w:r>
        <w:t>Le chapitre 67 comprend les charges exceptionnelles</w:t>
      </w:r>
    </w:p>
    <w:p w14:paraId="5AB8D541" w14:textId="63BB0AD7" w:rsidR="002F7CE9" w:rsidRDefault="00F55502" w:rsidP="002F7CE9">
      <w:pPr>
        <w:jc w:val="both"/>
      </w:pPr>
      <w:r>
        <w:t>Le c</w:t>
      </w:r>
      <w:r w:rsidR="002F7CE9">
        <w:t>hapitre 013 comprend les remboursements de rémunérations et charges de personnel</w:t>
      </w:r>
      <w:r w:rsidR="00523CDC">
        <w:t xml:space="preserve"> </w:t>
      </w:r>
      <w:r w:rsidR="002F7CE9">
        <w:t>suite aux arrêts maladie et accidents de travail.</w:t>
      </w:r>
    </w:p>
    <w:p w14:paraId="7D4B3BC6" w14:textId="5479EC4C" w:rsidR="002F7CE9" w:rsidRDefault="00F55502" w:rsidP="002F7CE9">
      <w:pPr>
        <w:jc w:val="both"/>
      </w:pPr>
      <w:r>
        <w:t>Le c</w:t>
      </w:r>
      <w:r w:rsidR="002F7CE9">
        <w:t xml:space="preserve">hapitre 70 </w:t>
      </w:r>
      <w:r>
        <w:t xml:space="preserve">comptabilise </w:t>
      </w:r>
      <w:r w:rsidR="002F7CE9">
        <w:t>les paiements</w:t>
      </w:r>
      <w:r w:rsidR="00523CDC">
        <w:t xml:space="preserve"> </w:t>
      </w:r>
      <w:r w:rsidR="002F7CE9">
        <w:t xml:space="preserve">effectués </w:t>
      </w:r>
      <w:r>
        <w:t>au titre des redevances domaniales et d’exploitation par le gestionnaire du port de plaisance et les services facturés aux communes dans le cadre des services mutualisés (</w:t>
      </w:r>
      <w:r w:rsidR="00A067F0">
        <w:t>surveillance des plages et démoustication)</w:t>
      </w:r>
    </w:p>
    <w:p w14:paraId="3ECBF853" w14:textId="63DC938C" w:rsidR="002F7CE9" w:rsidRDefault="00A067F0" w:rsidP="002F7CE9">
      <w:pPr>
        <w:jc w:val="both"/>
      </w:pPr>
      <w:r>
        <w:t>Le c</w:t>
      </w:r>
      <w:r w:rsidR="002F7CE9">
        <w:t xml:space="preserve">hapitre 73 représente </w:t>
      </w:r>
      <w:r>
        <w:t>68</w:t>
      </w:r>
      <w:r w:rsidR="002F7CE9">
        <w:t xml:space="preserve"> % des recettes de fonctionnement. Il co</w:t>
      </w:r>
      <w:r>
        <w:t xml:space="preserve">mprend </w:t>
      </w:r>
      <w:r w:rsidR="002F7CE9">
        <w:t>de</w:t>
      </w:r>
      <w:r w:rsidR="00523CDC">
        <w:t xml:space="preserve"> </w:t>
      </w:r>
      <w:r w:rsidR="002F7CE9">
        <w:t>nombreuses recettes mais l</w:t>
      </w:r>
      <w:r>
        <w:t>es</w:t>
      </w:r>
      <w:r w:rsidR="002F7CE9">
        <w:t xml:space="preserve"> plus importante</w:t>
      </w:r>
      <w:r>
        <w:t>s</w:t>
      </w:r>
      <w:r w:rsidR="002F7CE9">
        <w:t xml:space="preserve"> reste</w:t>
      </w:r>
      <w:r>
        <w:t>nt</w:t>
      </w:r>
      <w:r w:rsidR="002F7CE9">
        <w:t xml:space="preserve"> celle</w:t>
      </w:r>
      <w:r>
        <w:t>s</w:t>
      </w:r>
      <w:r w:rsidR="002F7CE9">
        <w:t xml:space="preserve"> </w:t>
      </w:r>
      <w:r>
        <w:t>générées par</w:t>
      </w:r>
      <w:r w:rsidR="002F7CE9">
        <w:t xml:space="preserve"> la fiscalité locale</w:t>
      </w:r>
      <w:r w:rsidR="00807EF3">
        <w:t>, conformément aux taux votés par le Communauté de communes</w:t>
      </w:r>
      <w:r w:rsidR="00807EF3">
        <w:rPr>
          <w:rStyle w:val="Appelnotedebasdep"/>
        </w:rPr>
        <w:footnoteReference w:id="1"/>
      </w:r>
      <w:r>
        <w:t>.</w:t>
      </w:r>
    </w:p>
    <w:p w14:paraId="428AD56F" w14:textId="59A6EE93" w:rsidR="00A067F0" w:rsidRPr="00A067F0" w:rsidRDefault="00A067F0" w:rsidP="00A067F0">
      <w:pPr>
        <w:tabs>
          <w:tab w:val="decimal" w:pos="8505"/>
        </w:tabs>
        <w:spacing w:before="120" w:after="0" w:line="240" w:lineRule="auto"/>
        <w:ind w:left="567"/>
        <w:jc w:val="both"/>
        <w:rPr>
          <w:rFonts w:eastAsiaTheme="minorEastAsia" w:cstheme="minorHAnsi"/>
        </w:rPr>
      </w:pPr>
      <w:r w:rsidRPr="00A067F0">
        <w:rPr>
          <w:rFonts w:eastAsiaTheme="minorEastAsia" w:cstheme="minorHAnsi"/>
        </w:rPr>
        <w:t>Article 73 111 : Taxe d’habitation et Cotisation foncière des entreprises :</w:t>
      </w:r>
      <w:r w:rsidRPr="00A067F0">
        <w:rPr>
          <w:rFonts w:eastAsiaTheme="minorEastAsia" w:cstheme="minorHAnsi"/>
        </w:rPr>
        <w:tab/>
        <w:t>5 001 488,00 €</w:t>
      </w:r>
    </w:p>
    <w:p w14:paraId="632AD166" w14:textId="5309D6EC" w:rsidR="00A067F0" w:rsidRPr="00A067F0" w:rsidRDefault="00A067F0" w:rsidP="00A067F0">
      <w:pPr>
        <w:spacing w:before="120" w:after="0" w:line="240" w:lineRule="auto"/>
        <w:ind w:left="567"/>
        <w:jc w:val="both"/>
        <w:rPr>
          <w:rFonts w:eastAsiaTheme="minorEastAsia" w:cstheme="minorHAnsi"/>
        </w:rPr>
      </w:pPr>
      <w:r w:rsidRPr="00A067F0">
        <w:rPr>
          <w:rFonts w:eastAsiaTheme="minorEastAsia" w:cstheme="minorHAnsi"/>
        </w:rPr>
        <w:t>Article 73 112 : Cotisation sur la valeur ajoutée des entreprises :</w:t>
      </w:r>
      <w:r w:rsidRPr="00A067F0">
        <w:rPr>
          <w:rFonts w:eastAsiaTheme="minorEastAsia" w:cstheme="minorHAnsi"/>
        </w:rPr>
        <w:tab/>
      </w:r>
      <w:r w:rsidRPr="00A067F0">
        <w:rPr>
          <w:rFonts w:eastAsiaTheme="minorEastAsia" w:cstheme="minorHAnsi"/>
        </w:rPr>
        <w:tab/>
      </w:r>
      <w:r w:rsidRPr="00A067F0">
        <w:rPr>
          <w:rFonts w:eastAsiaTheme="minorEastAsia" w:cstheme="minorHAnsi"/>
        </w:rPr>
        <w:tab/>
        <w:t>971 647,00 €</w:t>
      </w:r>
    </w:p>
    <w:p w14:paraId="7CB01A3B" w14:textId="77777777" w:rsidR="00A067F0" w:rsidRPr="00A067F0" w:rsidRDefault="00A067F0" w:rsidP="00A067F0">
      <w:pPr>
        <w:tabs>
          <w:tab w:val="decimal" w:pos="6946"/>
        </w:tabs>
        <w:spacing w:before="120" w:after="0" w:line="240" w:lineRule="auto"/>
        <w:ind w:left="567"/>
        <w:jc w:val="both"/>
        <w:rPr>
          <w:rFonts w:eastAsiaTheme="minorEastAsia" w:cstheme="minorHAnsi"/>
        </w:rPr>
      </w:pPr>
      <w:r w:rsidRPr="00A067F0">
        <w:rPr>
          <w:rFonts w:eastAsiaTheme="minorEastAsia" w:cstheme="minorHAnsi"/>
        </w:rPr>
        <w:t>Article 73 113 : Taxe sur les surfaces commerciales :</w:t>
      </w:r>
      <w:r w:rsidRPr="00A067F0">
        <w:rPr>
          <w:rFonts w:eastAsiaTheme="minorEastAsia" w:cstheme="minorHAnsi"/>
        </w:rPr>
        <w:tab/>
      </w:r>
      <w:r w:rsidRPr="00A067F0">
        <w:rPr>
          <w:rFonts w:eastAsiaTheme="minorEastAsia" w:cstheme="minorHAnsi"/>
        </w:rPr>
        <w:tab/>
      </w:r>
      <w:r w:rsidRPr="00A067F0">
        <w:rPr>
          <w:rFonts w:eastAsiaTheme="minorEastAsia" w:cstheme="minorHAnsi"/>
        </w:rPr>
        <w:tab/>
        <w:t>288 277,00 €</w:t>
      </w:r>
    </w:p>
    <w:p w14:paraId="0AEB4405" w14:textId="77777777" w:rsidR="00A067F0" w:rsidRPr="00A067F0" w:rsidRDefault="00A067F0" w:rsidP="00A067F0">
      <w:pPr>
        <w:tabs>
          <w:tab w:val="decimal" w:pos="6946"/>
        </w:tabs>
        <w:spacing w:before="120" w:after="0" w:line="240" w:lineRule="auto"/>
        <w:ind w:left="567"/>
        <w:jc w:val="both"/>
        <w:rPr>
          <w:rFonts w:eastAsiaTheme="minorEastAsia" w:cstheme="minorHAnsi"/>
        </w:rPr>
      </w:pPr>
      <w:r w:rsidRPr="00A067F0">
        <w:rPr>
          <w:rFonts w:eastAsiaTheme="minorEastAsia" w:cstheme="minorHAnsi"/>
        </w:rPr>
        <w:t>Article 73 114 : Imposition forfaitaire sur les réseaux :</w:t>
      </w:r>
      <w:r w:rsidRPr="00A067F0">
        <w:rPr>
          <w:rFonts w:eastAsiaTheme="minorEastAsia" w:cstheme="minorHAnsi"/>
        </w:rPr>
        <w:tab/>
      </w:r>
      <w:r w:rsidRPr="00A067F0">
        <w:rPr>
          <w:rFonts w:eastAsiaTheme="minorEastAsia" w:cstheme="minorHAnsi"/>
        </w:rPr>
        <w:tab/>
      </w:r>
      <w:r w:rsidRPr="00A067F0">
        <w:rPr>
          <w:rFonts w:eastAsiaTheme="minorEastAsia" w:cstheme="minorHAnsi"/>
        </w:rPr>
        <w:tab/>
        <w:t>473 261,00 €</w:t>
      </w:r>
    </w:p>
    <w:p w14:paraId="7E9D2D95" w14:textId="77777777" w:rsidR="00A067F0" w:rsidRPr="00A067F0" w:rsidRDefault="00A067F0" w:rsidP="00A067F0">
      <w:pPr>
        <w:tabs>
          <w:tab w:val="decimal" w:pos="8505"/>
        </w:tabs>
        <w:spacing w:before="120" w:after="0" w:line="240" w:lineRule="auto"/>
        <w:ind w:left="567"/>
        <w:jc w:val="both"/>
        <w:rPr>
          <w:rFonts w:eastAsiaTheme="minorEastAsia" w:cstheme="minorHAnsi"/>
        </w:rPr>
      </w:pPr>
      <w:r w:rsidRPr="00A067F0">
        <w:rPr>
          <w:rFonts w:eastAsiaTheme="minorEastAsia" w:cstheme="minorHAnsi"/>
        </w:rPr>
        <w:t>Article 7318 : Autres impôts locaux ou assimilés :</w:t>
      </w:r>
      <w:r w:rsidRPr="00A067F0">
        <w:rPr>
          <w:rFonts w:eastAsiaTheme="minorEastAsia" w:cstheme="minorHAnsi"/>
        </w:rPr>
        <w:tab/>
        <w:t>11 454,00 €</w:t>
      </w:r>
    </w:p>
    <w:p w14:paraId="6EEAAF0D" w14:textId="77777777" w:rsidR="00A067F0" w:rsidRPr="00A067F0" w:rsidRDefault="00A067F0" w:rsidP="00A067F0">
      <w:pPr>
        <w:tabs>
          <w:tab w:val="decimal" w:pos="8505"/>
        </w:tabs>
        <w:spacing w:before="120" w:after="0" w:line="240" w:lineRule="auto"/>
        <w:ind w:left="567"/>
        <w:jc w:val="both"/>
        <w:rPr>
          <w:rFonts w:eastAsiaTheme="minorEastAsia" w:cstheme="minorHAnsi"/>
        </w:rPr>
      </w:pPr>
      <w:r w:rsidRPr="00A067F0">
        <w:rPr>
          <w:rFonts w:eastAsiaTheme="minorEastAsia" w:cstheme="minorHAnsi"/>
        </w:rPr>
        <w:t>Article 73211 : Attribution de compensation perçues</w:t>
      </w:r>
      <w:r w:rsidRPr="00A067F0">
        <w:rPr>
          <w:rFonts w:eastAsiaTheme="minorEastAsia" w:cstheme="minorHAnsi"/>
        </w:rPr>
        <w:tab/>
        <w:t>65 646,00 €</w:t>
      </w:r>
    </w:p>
    <w:p w14:paraId="3C4A84BA" w14:textId="77777777" w:rsidR="00A067F0" w:rsidRPr="00A067F0" w:rsidRDefault="00A067F0" w:rsidP="00A067F0">
      <w:pPr>
        <w:tabs>
          <w:tab w:val="decimal" w:pos="8505"/>
        </w:tabs>
        <w:spacing w:before="120" w:after="0" w:line="240" w:lineRule="auto"/>
        <w:ind w:left="567"/>
        <w:jc w:val="both"/>
        <w:rPr>
          <w:rFonts w:eastAsiaTheme="minorEastAsia" w:cstheme="minorHAnsi"/>
        </w:rPr>
      </w:pPr>
      <w:r w:rsidRPr="00A067F0">
        <w:rPr>
          <w:rFonts w:eastAsiaTheme="minorEastAsia" w:cstheme="minorHAnsi"/>
        </w:rPr>
        <w:t>Article 7331 TEOM :</w:t>
      </w:r>
      <w:r w:rsidRPr="00A067F0">
        <w:rPr>
          <w:rFonts w:eastAsiaTheme="minorEastAsia" w:cstheme="minorHAnsi"/>
        </w:rPr>
        <w:tab/>
        <w:t>4 524 031,00 €</w:t>
      </w:r>
    </w:p>
    <w:p w14:paraId="11D2A8EB" w14:textId="77777777" w:rsidR="00A067F0" w:rsidRPr="00A067F0" w:rsidRDefault="00A067F0" w:rsidP="00A067F0">
      <w:pPr>
        <w:tabs>
          <w:tab w:val="decimal" w:pos="8505"/>
        </w:tabs>
        <w:spacing w:before="120" w:after="240" w:line="240" w:lineRule="auto"/>
        <w:ind w:left="567"/>
        <w:jc w:val="both"/>
        <w:rPr>
          <w:rFonts w:eastAsiaTheme="minorEastAsia" w:cstheme="minorHAnsi"/>
        </w:rPr>
      </w:pPr>
      <w:r w:rsidRPr="00A067F0">
        <w:rPr>
          <w:rFonts w:eastAsiaTheme="minorEastAsia" w:cstheme="minorHAnsi"/>
        </w:rPr>
        <w:t>Article 7362 Taxe de séjour :</w:t>
      </w:r>
      <w:r w:rsidRPr="00A067F0">
        <w:rPr>
          <w:rFonts w:eastAsiaTheme="minorEastAsia" w:cstheme="minorHAnsi"/>
        </w:rPr>
        <w:tab/>
        <w:t>2 174 791,57 €</w:t>
      </w:r>
    </w:p>
    <w:p w14:paraId="4919B2E3" w14:textId="4C86FB65" w:rsidR="002F7CE9" w:rsidRDefault="00A067F0" w:rsidP="002F7CE9">
      <w:pPr>
        <w:jc w:val="both"/>
      </w:pPr>
      <w:r>
        <w:t>Le c</w:t>
      </w:r>
      <w:r w:rsidR="002F7CE9">
        <w:t>hapitre 74 concerne les dotations de l’Etat dont la dotation globale de fonctionnement</w:t>
      </w:r>
      <w:r>
        <w:t xml:space="preserve"> </w:t>
      </w:r>
      <w:r w:rsidR="002F7CE9">
        <w:t>(DGF) ainsi que les compensations de l’Etat au titre des diverses exonérations sur les impôts</w:t>
      </w:r>
      <w:r>
        <w:t xml:space="preserve"> </w:t>
      </w:r>
      <w:r w:rsidR="002F7CE9">
        <w:t xml:space="preserve">locaux. </w:t>
      </w:r>
    </w:p>
    <w:p w14:paraId="406CBF24" w14:textId="77777777" w:rsidR="00A067F0" w:rsidRDefault="00A067F0" w:rsidP="00A067F0">
      <w:pPr>
        <w:ind w:left="567"/>
        <w:jc w:val="both"/>
      </w:pPr>
      <w:r>
        <w:t xml:space="preserve">Article 74124 : dotation d’intercommunalité : </w:t>
      </w:r>
      <w:r>
        <w:tab/>
        <w:t>978 573,00 €</w:t>
      </w:r>
    </w:p>
    <w:p w14:paraId="71673AAA" w14:textId="26ED9C60" w:rsidR="00A067F0" w:rsidRDefault="00A067F0" w:rsidP="00A067F0">
      <w:pPr>
        <w:ind w:left="567"/>
        <w:jc w:val="both"/>
      </w:pPr>
      <w:r>
        <w:t xml:space="preserve">Article 74126 : dotation de compensation : </w:t>
      </w:r>
      <w:r>
        <w:tab/>
        <w:t>550 296,00 €</w:t>
      </w:r>
    </w:p>
    <w:p w14:paraId="2DAF47EA" w14:textId="14D64936" w:rsidR="00A067F0" w:rsidRDefault="00A067F0" w:rsidP="00A067F0">
      <w:pPr>
        <w:jc w:val="both"/>
      </w:pPr>
      <w:r>
        <w:t>Le chapitre 75 comporte le remboursement et de divers avoirs.</w:t>
      </w:r>
    </w:p>
    <w:p w14:paraId="3866AF2E" w14:textId="06E606C9" w:rsidR="00A067F0" w:rsidRDefault="00A067F0" w:rsidP="00A067F0">
      <w:pPr>
        <w:jc w:val="both"/>
      </w:pPr>
      <w:r>
        <w:t>Le chapitre 77 recense des produits exceptionnels.</w:t>
      </w:r>
    </w:p>
    <w:p w14:paraId="3C40C60C" w14:textId="424CFACB" w:rsidR="002F7CE9" w:rsidRDefault="00A067F0" w:rsidP="00A067F0">
      <w:pPr>
        <w:jc w:val="both"/>
      </w:pPr>
      <w:r>
        <w:t xml:space="preserve">Le chapitre 78 </w:t>
      </w:r>
      <w:r w:rsidR="006341D4">
        <w:t>comptabilise la r</w:t>
      </w:r>
      <w:r>
        <w:t xml:space="preserve">eprise </w:t>
      </w:r>
      <w:r w:rsidR="006341D4">
        <w:t xml:space="preserve">des </w:t>
      </w:r>
      <w:r>
        <w:t>provisions semi-budgétaires</w:t>
      </w:r>
      <w:r w:rsidR="006341D4">
        <w:t xml:space="preserve"> pour </w:t>
      </w:r>
      <w:r>
        <w:t>830 000,00 €</w:t>
      </w:r>
      <w:r w:rsidR="006341D4">
        <w:t xml:space="preserve"> correspondant au d</w:t>
      </w:r>
      <w:r>
        <w:t>éblocage de la provision de risque contentieux « Port Médoc »</w:t>
      </w:r>
    </w:p>
    <w:p w14:paraId="566AB629" w14:textId="1BFA836B" w:rsidR="007D57DA" w:rsidRDefault="002F7CE9" w:rsidP="002F7CE9">
      <w:pPr>
        <w:jc w:val="both"/>
      </w:pPr>
      <w:r>
        <w:t xml:space="preserve">Le chapitre 042 concerne les opérations d’ordre budgétaires. </w:t>
      </w:r>
      <w:r>
        <w:cr/>
      </w:r>
    </w:p>
    <w:p w14:paraId="322324DA" w14:textId="7CC8460B" w:rsidR="007D57DA" w:rsidRDefault="00F40BD3" w:rsidP="007D57DA">
      <w:pPr>
        <w:jc w:val="center"/>
      </w:pPr>
      <w:r>
        <w:rPr>
          <w:noProof/>
        </w:rPr>
        <w:lastRenderedPageBreak/>
        <w:drawing>
          <wp:inline distT="0" distB="0" distL="0" distR="0" wp14:anchorId="2A3400F2" wp14:editId="7612986A">
            <wp:extent cx="5707380" cy="3314700"/>
            <wp:effectExtent l="0" t="0" r="7620" b="0"/>
            <wp:docPr id="1" name="Graphique 1">
              <a:extLst xmlns:a="http://schemas.openxmlformats.org/drawingml/2006/main">
                <a:ext uri="{FF2B5EF4-FFF2-40B4-BE49-F238E27FC236}">
                  <a16:creationId xmlns:a16="http://schemas.microsoft.com/office/drawing/2014/main" id="{097C98EC-FEE6-4611-AB56-451D56F8AF2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8699577" w14:textId="3597DB16" w:rsidR="007D57DA" w:rsidRDefault="007D57DA" w:rsidP="007D57DA">
      <w:pPr>
        <w:jc w:val="both"/>
      </w:pPr>
    </w:p>
    <w:p w14:paraId="1DBCA134" w14:textId="7F03F19A" w:rsidR="007D57DA" w:rsidRDefault="003A1A61" w:rsidP="007D57DA">
      <w:pPr>
        <w:jc w:val="both"/>
      </w:pPr>
      <w:r>
        <w:rPr>
          <w:noProof/>
        </w:rPr>
        <w:drawing>
          <wp:inline distT="0" distB="0" distL="0" distR="0" wp14:anchorId="55589EE6" wp14:editId="7EB93896">
            <wp:extent cx="5760720" cy="3467100"/>
            <wp:effectExtent l="0" t="0" r="11430" b="0"/>
            <wp:docPr id="2" name="Graphique 2">
              <a:extLst xmlns:a="http://schemas.openxmlformats.org/drawingml/2006/main">
                <a:ext uri="{FF2B5EF4-FFF2-40B4-BE49-F238E27FC236}">
                  <a16:creationId xmlns:a16="http://schemas.microsoft.com/office/drawing/2014/main" id="{BD40E347-EABF-4125-A80A-EA74B28B4D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F718DB9" w14:textId="77777777" w:rsidR="00FD51E4" w:rsidRDefault="00FD51E4">
      <w:pPr>
        <w:rPr>
          <w:b/>
          <w:bCs/>
          <w:i/>
          <w:iCs/>
        </w:rPr>
      </w:pPr>
      <w:r>
        <w:rPr>
          <w:b/>
          <w:bCs/>
          <w:i/>
          <w:iCs/>
        </w:rPr>
        <w:br w:type="page"/>
      </w:r>
    </w:p>
    <w:p w14:paraId="5536BB5C" w14:textId="25314D5C" w:rsidR="0048661E" w:rsidRPr="00F55502" w:rsidRDefault="007D57DA" w:rsidP="00BA4520">
      <w:pPr>
        <w:jc w:val="both"/>
        <w:rPr>
          <w:b/>
          <w:bCs/>
          <w:i/>
          <w:iCs/>
        </w:rPr>
      </w:pPr>
      <w:r w:rsidRPr="00F55502">
        <w:rPr>
          <w:b/>
          <w:bCs/>
          <w:i/>
          <w:iCs/>
        </w:rPr>
        <w:lastRenderedPageBreak/>
        <w:t>SECTION D’INVESTISSEMENT</w:t>
      </w:r>
    </w:p>
    <w:tbl>
      <w:tblPr>
        <w:tblW w:w="8600" w:type="dxa"/>
        <w:jc w:val="center"/>
        <w:tblCellMar>
          <w:left w:w="70" w:type="dxa"/>
          <w:right w:w="70" w:type="dxa"/>
        </w:tblCellMar>
        <w:tblLook w:val="04A0" w:firstRow="1" w:lastRow="0" w:firstColumn="1" w:lastColumn="0" w:noHBand="0" w:noVBand="1"/>
      </w:tblPr>
      <w:tblGrid>
        <w:gridCol w:w="6040"/>
        <w:gridCol w:w="2560"/>
      </w:tblGrid>
      <w:tr w:rsidR="007D57DA" w:rsidRPr="007D57DA" w14:paraId="62228527" w14:textId="77777777" w:rsidTr="00EE7A45">
        <w:trPr>
          <w:trHeight w:val="288"/>
          <w:jc w:val="center"/>
        </w:trPr>
        <w:tc>
          <w:tcPr>
            <w:tcW w:w="6040" w:type="dxa"/>
            <w:tcBorders>
              <w:top w:val="single" w:sz="4" w:space="0" w:color="auto"/>
              <w:left w:val="single" w:sz="4" w:space="0" w:color="auto"/>
              <w:bottom w:val="single" w:sz="4" w:space="0" w:color="auto"/>
              <w:right w:val="single" w:sz="4" w:space="0" w:color="auto"/>
            </w:tcBorders>
            <w:shd w:val="clear" w:color="000000" w:fill="8EA9DB"/>
            <w:noWrap/>
            <w:hideMark/>
          </w:tcPr>
          <w:p w14:paraId="57FF9CC1"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Investissement - Dépense</w:t>
            </w:r>
          </w:p>
        </w:tc>
        <w:tc>
          <w:tcPr>
            <w:tcW w:w="2560" w:type="dxa"/>
            <w:tcBorders>
              <w:top w:val="single" w:sz="4" w:space="0" w:color="auto"/>
              <w:left w:val="nil"/>
              <w:bottom w:val="single" w:sz="4" w:space="0" w:color="auto"/>
              <w:right w:val="single" w:sz="4" w:space="0" w:color="auto"/>
            </w:tcBorders>
            <w:shd w:val="clear" w:color="000000" w:fill="8EA9DB"/>
            <w:noWrap/>
            <w:hideMark/>
          </w:tcPr>
          <w:p w14:paraId="042D8A62"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5 073 724,75 €</w:t>
            </w:r>
          </w:p>
        </w:tc>
      </w:tr>
      <w:tr w:rsidR="007D57DA" w:rsidRPr="007D57DA" w14:paraId="5B99C531"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615B01CE"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040 - Opérations d'ordre de transfert entre sections</w:t>
            </w:r>
          </w:p>
        </w:tc>
        <w:tc>
          <w:tcPr>
            <w:tcW w:w="2560" w:type="dxa"/>
            <w:tcBorders>
              <w:top w:val="nil"/>
              <w:left w:val="nil"/>
              <w:bottom w:val="single" w:sz="4" w:space="0" w:color="auto"/>
              <w:right w:val="single" w:sz="4" w:space="0" w:color="auto"/>
            </w:tcBorders>
            <w:shd w:val="clear" w:color="auto" w:fill="auto"/>
            <w:noWrap/>
            <w:hideMark/>
          </w:tcPr>
          <w:p w14:paraId="7B613777"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71 646,21 €</w:t>
            </w:r>
          </w:p>
        </w:tc>
      </w:tr>
      <w:tr w:rsidR="007D57DA" w:rsidRPr="007D57DA" w14:paraId="4A11713E"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352ED779"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16 - Emprunts et dettes assimilées</w:t>
            </w:r>
          </w:p>
        </w:tc>
        <w:tc>
          <w:tcPr>
            <w:tcW w:w="2560" w:type="dxa"/>
            <w:tcBorders>
              <w:top w:val="nil"/>
              <w:left w:val="nil"/>
              <w:bottom w:val="single" w:sz="4" w:space="0" w:color="auto"/>
              <w:right w:val="single" w:sz="4" w:space="0" w:color="auto"/>
            </w:tcBorders>
            <w:shd w:val="clear" w:color="auto" w:fill="auto"/>
            <w:noWrap/>
            <w:hideMark/>
          </w:tcPr>
          <w:p w14:paraId="610CFB4C"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795 537,82 €</w:t>
            </w:r>
          </w:p>
        </w:tc>
      </w:tr>
      <w:tr w:rsidR="007D57DA" w:rsidRPr="007D57DA" w14:paraId="7F1B3ED2"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1A32412D"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20 - Immobilisations incorporelles</w:t>
            </w:r>
          </w:p>
        </w:tc>
        <w:tc>
          <w:tcPr>
            <w:tcW w:w="2560" w:type="dxa"/>
            <w:tcBorders>
              <w:top w:val="nil"/>
              <w:left w:val="nil"/>
              <w:bottom w:val="single" w:sz="4" w:space="0" w:color="auto"/>
              <w:right w:val="single" w:sz="4" w:space="0" w:color="auto"/>
            </w:tcBorders>
            <w:shd w:val="clear" w:color="auto" w:fill="auto"/>
            <w:noWrap/>
            <w:hideMark/>
          </w:tcPr>
          <w:p w14:paraId="14FB132C"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266 892,00 €</w:t>
            </w:r>
          </w:p>
        </w:tc>
      </w:tr>
      <w:tr w:rsidR="007D57DA" w:rsidRPr="007D57DA" w14:paraId="5095F93B"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5345F533"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204 - Subventions d'équipement versées</w:t>
            </w:r>
          </w:p>
        </w:tc>
        <w:tc>
          <w:tcPr>
            <w:tcW w:w="2560" w:type="dxa"/>
            <w:tcBorders>
              <w:top w:val="nil"/>
              <w:left w:val="nil"/>
              <w:bottom w:val="single" w:sz="4" w:space="0" w:color="auto"/>
              <w:right w:val="single" w:sz="4" w:space="0" w:color="auto"/>
            </w:tcBorders>
            <w:shd w:val="clear" w:color="auto" w:fill="auto"/>
            <w:noWrap/>
            <w:hideMark/>
          </w:tcPr>
          <w:p w14:paraId="3DDC898F"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94 044,00 €</w:t>
            </w:r>
          </w:p>
        </w:tc>
      </w:tr>
      <w:tr w:rsidR="007D57DA" w:rsidRPr="007D57DA" w14:paraId="48C986A0"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248734D0"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21 - Immobilisations corporelles</w:t>
            </w:r>
          </w:p>
        </w:tc>
        <w:tc>
          <w:tcPr>
            <w:tcW w:w="2560" w:type="dxa"/>
            <w:tcBorders>
              <w:top w:val="nil"/>
              <w:left w:val="nil"/>
              <w:bottom w:val="single" w:sz="4" w:space="0" w:color="auto"/>
              <w:right w:val="single" w:sz="4" w:space="0" w:color="auto"/>
            </w:tcBorders>
            <w:shd w:val="clear" w:color="auto" w:fill="auto"/>
            <w:noWrap/>
            <w:hideMark/>
          </w:tcPr>
          <w:p w14:paraId="7201C402"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692 164,56 €</w:t>
            </w:r>
          </w:p>
        </w:tc>
      </w:tr>
      <w:tr w:rsidR="007D57DA" w:rsidRPr="007D57DA" w14:paraId="03EEE9B4"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763E7260"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23 - Immobilisations en cours</w:t>
            </w:r>
          </w:p>
        </w:tc>
        <w:tc>
          <w:tcPr>
            <w:tcW w:w="2560" w:type="dxa"/>
            <w:tcBorders>
              <w:top w:val="nil"/>
              <w:left w:val="nil"/>
              <w:bottom w:val="single" w:sz="4" w:space="0" w:color="auto"/>
              <w:right w:val="single" w:sz="4" w:space="0" w:color="auto"/>
            </w:tcBorders>
            <w:shd w:val="clear" w:color="auto" w:fill="auto"/>
            <w:noWrap/>
            <w:hideMark/>
          </w:tcPr>
          <w:p w14:paraId="54B6CD4D"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3 028 406,16 €</w:t>
            </w:r>
          </w:p>
        </w:tc>
      </w:tr>
      <w:tr w:rsidR="007D57DA" w:rsidRPr="007D57DA" w14:paraId="7D0FEE9C"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7F8852FD"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27 - Autres immobilisations financières</w:t>
            </w:r>
          </w:p>
        </w:tc>
        <w:tc>
          <w:tcPr>
            <w:tcW w:w="2560" w:type="dxa"/>
            <w:tcBorders>
              <w:top w:val="nil"/>
              <w:left w:val="nil"/>
              <w:bottom w:val="single" w:sz="4" w:space="0" w:color="auto"/>
              <w:right w:val="single" w:sz="4" w:space="0" w:color="auto"/>
            </w:tcBorders>
            <w:shd w:val="clear" w:color="auto" w:fill="auto"/>
            <w:noWrap/>
            <w:hideMark/>
          </w:tcPr>
          <w:p w14:paraId="2BE4A162"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125 034,00 €</w:t>
            </w:r>
          </w:p>
        </w:tc>
      </w:tr>
      <w:tr w:rsidR="007D57DA" w:rsidRPr="007D57DA" w14:paraId="4EDD0354"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000000" w:fill="8EA9DB"/>
            <w:noWrap/>
            <w:hideMark/>
          </w:tcPr>
          <w:p w14:paraId="6741D7D9"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Investissement - Recette</w:t>
            </w:r>
          </w:p>
        </w:tc>
        <w:tc>
          <w:tcPr>
            <w:tcW w:w="2560" w:type="dxa"/>
            <w:tcBorders>
              <w:top w:val="nil"/>
              <w:left w:val="nil"/>
              <w:bottom w:val="single" w:sz="4" w:space="0" w:color="auto"/>
              <w:right w:val="single" w:sz="4" w:space="0" w:color="auto"/>
            </w:tcBorders>
            <w:shd w:val="clear" w:color="000000" w:fill="8EA9DB"/>
            <w:noWrap/>
            <w:hideMark/>
          </w:tcPr>
          <w:p w14:paraId="64027F5D"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3 295 123,04 €</w:t>
            </w:r>
          </w:p>
        </w:tc>
      </w:tr>
      <w:tr w:rsidR="007D57DA" w:rsidRPr="007D57DA" w14:paraId="688DC829"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0FD5809D"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001 - Solde d'exécution de la section d'investissement reporté</w:t>
            </w:r>
          </w:p>
        </w:tc>
        <w:tc>
          <w:tcPr>
            <w:tcW w:w="2560" w:type="dxa"/>
            <w:tcBorders>
              <w:top w:val="nil"/>
              <w:left w:val="nil"/>
              <w:bottom w:val="single" w:sz="4" w:space="0" w:color="auto"/>
              <w:right w:val="single" w:sz="4" w:space="0" w:color="auto"/>
            </w:tcBorders>
            <w:shd w:val="clear" w:color="auto" w:fill="auto"/>
            <w:noWrap/>
            <w:hideMark/>
          </w:tcPr>
          <w:p w14:paraId="0CB3CB60"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1 339 057,36 €</w:t>
            </w:r>
          </w:p>
        </w:tc>
      </w:tr>
      <w:tr w:rsidR="007D57DA" w:rsidRPr="007D57DA" w14:paraId="7C5792AB"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2244C621"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021 - Virement de la section de fonctionnement</w:t>
            </w:r>
          </w:p>
        </w:tc>
        <w:tc>
          <w:tcPr>
            <w:tcW w:w="2560" w:type="dxa"/>
            <w:tcBorders>
              <w:top w:val="nil"/>
              <w:left w:val="nil"/>
              <w:bottom w:val="single" w:sz="4" w:space="0" w:color="auto"/>
              <w:right w:val="single" w:sz="4" w:space="0" w:color="auto"/>
            </w:tcBorders>
            <w:shd w:val="clear" w:color="auto" w:fill="auto"/>
            <w:noWrap/>
            <w:hideMark/>
          </w:tcPr>
          <w:p w14:paraId="4371B5C8"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0,00 €</w:t>
            </w:r>
          </w:p>
        </w:tc>
      </w:tr>
      <w:tr w:rsidR="007D57DA" w:rsidRPr="007D57DA" w14:paraId="1086C2B9"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46A2A23B"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024 - Produits de cessions</w:t>
            </w:r>
          </w:p>
        </w:tc>
        <w:tc>
          <w:tcPr>
            <w:tcW w:w="2560" w:type="dxa"/>
            <w:tcBorders>
              <w:top w:val="nil"/>
              <w:left w:val="nil"/>
              <w:bottom w:val="single" w:sz="4" w:space="0" w:color="auto"/>
              <w:right w:val="single" w:sz="4" w:space="0" w:color="auto"/>
            </w:tcBorders>
            <w:shd w:val="clear" w:color="auto" w:fill="auto"/>
            <w:noWrap/>
            <w:hideMark/>
          </w:tcPr>
          <w:p w14:paraId="683691DD"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0,00 €</w:t>
            </w:r>
          </w:p>
        </w:tc>
      </w:tr>
      <w:tr w:rsidR="007D57DA" w:rsidRPr="007D57DA" w14:paraId="09EF3552"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1CE8FB37"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040 - Opérations d'ordre de transfert entre sections</w:t>
            </w:r>
          </w:p>
        </w:tc>
        <w:tc>
          <w:tcPr>
            <w:tcW w:w="2560" w:type="dxa"/>
            <w:tcBorders>
              <w:top w:val="nil"/>
              <w:left w:val="nil"/>
              <w:bottom w:val="single" w:sz="4" w:space="0" w:color="auto"/>
              <w:right w:val="single" w:sz="4" w:space="0" w:color="auto"/>
            </w:tcBorders>
            <w:shd w:val="clear" w:color="auto" w:fill="auto"/>
            <w:noWrap/>
            <w:hideMark/>
          </w:tcPr>
          <w:p w14:paraId="30FA35D0"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521 676,25 €</w:t>
            </w:r>
          </w:p>
        </w:tc>
      </w:tr>
      <w:tr w:rsidR="007D57DA" w:rsidRPr="007D57DA" w14:paraId="61C7A561"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38DD4C94"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10 - Dotations, fonds divers et réserves</w:t>
            </w:r>
          </w:p>
        </w:tc>
        <w:tc>
          <w:tcPr>
            <w:tcW w:w="2560" w:type="dxa"/>
            <w:tcBorders>
              <w:top w:val="nil"/>
              <w:left w:val="nil"/>
              <w:bottom w:val="single" w:sz="4" w:space="0" w:color="auto"/>
              <w:right w:val="single" w:sz="4" w:space="0" w:color="auto"/>
            </w:tcBorders>
            <w:shd w:val="clear" w:color="auto" w:fill="auto"/>
            <w:noWrap/>
            <w:hideMark/>
          </w:tcPr>
          <w:p w14:paraId="1CCF8FAD"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528 045,27 €</w:t>
            </w:r>
          </w:p>
        </w:tc>
      </w:tr>
      <w:tr w:rsidR="007D57DA" w:rsidRPr="007D57DA" w14:paraId="166C7517"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432069A8"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13 - Subventions d'investissement</w:t>
            </w:r>
          </w:p>
        </w:tc>
        <w:tc>
          <w:tcPr>
            <w:tcW w:w="2560" w:type="dxa"/>
            <w:tcBorders>
              <w:top w:val="nil"/>
              <w:left w:val="nil"/>
              <w:bottom w:val="single" w:sz="4" w:space="0" w:color="auto"/>
              <w:right w:val="single" w:sz="4" w:space="0" w:color="auto"/>
            </w:tcBorders>
            <w:shd w:val="clear" w:color="auto" w:fill="auto"/>
            <w:noWrap/>
            <w:hideMark/>
          </w:tcPr>
          <w:p w14:paraId="4D822FB1"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375 857,50 €</w:t>
            </w:r>
          </w:p>
        </w:tc>
      </w:tr>
      <w:tr w:rsidR="007D57DA" w:rsidRPr="007D57DA" w14:paraId="6CABC093"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59D4BA63"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23 - Immobilisations en cours</w:t>
            </w:r>
          </w:p>
        </w:tc>
        <w:tc>
          <w:tcPr>
            <w:tcW w:w="2560" w:type="dxa"/>
            <w:tcBorders>
              <w:top w:val="nil"/>
              <w:left w:val="nil"/>
              <w:bottom w:val="single" w:sz="4" w:space="0" w:color="auto"/>
              <w:right w:val="single" w:sz="4" w:space="0" w:color="auto"/>
            </w:tcBorders>
            <w:shd w:val="clear" w:color="auto" w:fill="auto"/>
            <w:noWrap/>
            <w:hideMark/>
          </w:tcPr>
          <w:p w14:paraId="50FF494C"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360 379,30 €</w:t>
            </w:r>
          </w:p>
        </w:tc>
      </w:tr>
      <w:tr w:rsidR="007D57DA" w:rsidRPr="007D57DA" w14:paraId="7BC9EAA5"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1407AAAF" w14:textId="77777777" w:rsidR="007D57DA" w:rsidRPr="007D57DA" w:rsidRDefault="007D57DA" w:rsidP="007D57DA">
            <w:pPr>
              <w:spacing w:after="0" w:line="240" w:lineRule="auto"/>
              <w:rPr>
                <w:rFonts w:ascii="Calibri" w:eastAsia="Times New Roman" w:hAnsi="Calibri" w:cs="Calibri"/>
                <w:color w:val="000000"/>
                <w:lang w:eastAsia="fr-FR"/>
              </w:rPr>
            </w:pPr>
            <w:r w:rsidRPr="007D57DA">
              <w:rPr>
                <w:rFonts w:ascii="Calibri" w:eastAsia="Times New Roman" w:hAnsi="Calibri" w:cs="Calibri"/>
                <w:color w:val="000000"/>
                <w:lang w:eastAsia="fr-FR"/>
              </w:rPr>
              <w:t>27 - Autres immobilisations financières</w:t>
            </w:r>
          </w:p>
        </w:tc>
        <w:tc>
          <w:tcPr>
            <w:tcW w:w="2560" w:type="dxa"/>
            <w:tcBorders>
              <w:top w:val="nil"/>
              <w:left w:val="nil"/>
              <w:bottom w:val="single" w:sz="4" w:space="0" w:color="auto"/>
              <w:right w:val="single" w:sz="4" w:space="0" w:color="auto"/>
            </w:tcBorders>
            <w:shd w:val="clear" w:color="auto" w:fill="auto"/>
            <w:noWrap/>
            <w:hideMark/>
          </w:tcPr>
          <w:p w14:paraId="052BC8FB" w14:textId="77777777" w:rsidR="007D57DA" w:rsidRPr="007D57DA" w:rsidRDefault="007D57DA" w:rsidP="007D57DA">
            <w:pPr>
              <w:spacing w:after="0" w:line="240" w:lineRule="auto"/>
              <w:jc w:val="right"/>
              <w:rPr>
                <w:rFonts w:ascii="Calibri" w:eastAsia="Times New Roman" w:hAnsi="Calibri" w:cs="Calibri"/>
                <w:color w:val="000000"/>
                <w:lang w:eastAsia="fr-FR"/>
              </w:rPr>
            </w:pPr>
            <w:r w:rsidRPr="007D57DA">
              <w:rPr>
                <w:rFonts w:ascii="Calibri" w:eastAsia="Times New Roman" w:hAnsi="Calibri" w:cs="Calibri"/>
                <w:color w:val="000000"/>
                <w:lang w:eastAsia="fr-FR"/>
              </w:rPr>
              <w:t>170 107,36 €</w:t>
            </w:r>
          </w:p>
        </w:tc>
      </w:tr>
      <w:tr w:rsidR="007D57DA" w:rsidRPr="007D57DA" w14:paraId="01F268DC" w14:textId="77777777" w:rsidTr="00EE7A45">
        <w:trPr>
          <w:trHeight w:val="288"/>
          <w:jc w:val="center"/>
        </w:trPr>
        <w:tc>
          <w:tcPr>
            <w:tcW w:w="6040" w:type="dxa"/>
            <w:tcBorders>
              <w:top w:val="nil"/>
              <w:left w:val="single" w:sz="4" w:space="0" w:color="auto"/>
              <w:bottom w:val="single" w:sz="4" w:space="0" w:color="auto"/>
              <w:right w:val="single" w:sz="4" w:space="0" w:color="auto"/>
            </w:tcBorders>
            <w:shd w:val="clear" w:color="auto" w:fill="auto"/>
            <w:noWrap/>
            <w:hideMark/>
          </w:tcPr>
          <w:p w14:paraId="0C3BB541" w14:textId="77777777" w:rsidR="007D57DA" w:rsidRPr="007D57DA" w:rsidRDefault="007D57DA" w:rsidP="007D57DA">
            <w:pPr>
              <w:spacing w:after="0" w:line="240" w:lineRule="auto"/>
              <w:rPr>
                <w:rFonts w:ascii="Calibri" w:eastAsia="Times New Roman" w:hAnsi="Calibri" w:cs="Calibri"/>
                <w:b/>
                <w:bCs/>
                <w:lang w:eastAsia="fr-FR"/>
              </w:rPr>
            </w:pPr>
            <w:r w:rsidRPr="007D57DA">
              <w:rPr>
                <w:rFonts w:ascii="Calibri" w:eastAsia="Times New Roman" w:hAnsi="Calibri" w:cs="Calibri"/>
                <w:b/>
                <w:bCs/>
                <w:lang w:eastAsia="fr-FR"/>
              </w:rPr>
              <w:t>RESULTAT</w:t>
            </w:r>
          </w:p>
        </w:tc>
        <w:tc>
          <w:tcPr>
            <w:tcW w:w="2560" w:type="dxa"/>
            <w:tcBorders>
              <w:top w:val="nil"/>
              <w:left w:val="nil"/>
              <w:bottom w:val="single" w:sz="4" w:space="0" w:color="auto"/>
              <w:right w:val="single" w:sz="4" w:space="0" w:color="auto"/>
            </w:tcBorders>
            <w:shd w:val="clear" w:color="auto" w:fill="auto"/>
            <w:noWrap/>
            <w:hideMark/>
          </w:tcPr>
          <w:p w14:paraId="69A53515" w14:textId="77777777" w:rsidR="007D57DA" w:rsidRPr="007D57DA" w:rsidRDefault="007D57DA" w:rsidP="007D57DA">
            <w:pPr>
              <w:spacing w:after="0" w:line="240" w:lineRule="auto"/>
              <w:jc w:val="right"/>
              <w:rPr>
                <w:rFonts w:ascii="Calibri" w:eastAsia="Times New Roman" w:hAnsi="Calibri" w:cs="Calibri"/>
                <w:b/>
                <w:bCs/>
                <w:lang w:eastAsia="fr-FR"/>
              </w:rPr>
            </w:pPr>
            <w:r w:rsidRPr="007D57DA">
              <w:rPr>
                <w:rFonts w:ascii="Calibri" w:eastAsia="Times New Roman" w:hAnsi="Calibri" w:cs="Calibri"/>
                <w:b/>
                <w:bCs/>
                <w:lang w:eastAsia="fr-FR"/>
              </w:rPr>
              <w:t>-1 778 601,71 €</w:t>
            </w:r>
          </w:p>
        </w:tc>
      </w:tr>
    </w:tbl>
    <w:p w14:paraId="3490FBED" w14:textId="78D8DE07" w:rsidR="0048661E" w:rsidRDefault="0048661E" w:rsidP="00BA4520">
      <w:pPr>
        <w:jc w:val="both"/>
      </w:pPr>
    </w:p>
    <w:p w14:paraId="6B50CEFA" w14:textId="77DD3803" w:rsidR="002F7CE9" w:rsidRPr="00EE7A45" w:rsidRDefault="002F7CE9" w:rsidP="002F7CE9">
      <w:pPr>
        <w:spacing w:before="120" w:after="0" w:line="240" w:lineRule="auto"/>
        <w:jc w:val="both"/>
        <w:rPr>
          <w:rFonts w:eastAsiaTheme="minorEastAsia" w:cstheme="minorHAnsi"/>
        </w:rPr>
      </w:pPr>
      <w:r w:rsidRPr="00EE7A45">
        <w:rPr>
          <w:rFonts w:eastAsiaTheme="minorEastAsia" w:cstheme="minorHAnsi"/>
        </w:rPr>
        <w:t>Les dépenses d’investissement ont principalement porté sur :</w:t>
      </w:r>
    </w:p>
    <w:p w14:paraId="16214575" w14:textId="77777777" w:rsidR="002F7CE9" w:rsidRPr="00EE7A45" w:rsidRDefault="002F7CE9" w:rsidP="002F7CE9">
      <w:pPr>
        <w:tabs>
          <w:tab w:val="decimal" w:pos="9639"/>
        </w:tabs>
        <w:spacing w:before="120" w:after="0" w:line="240" w:lineRule="auto"/>
        <w:jc w:val="both"/>
        <w:rPr>
          <w:rFonts w:eastAsiaTheme="minorEastAsia" w:cstheme="minorHAnsi"/>
          <w:b/>
          <w:bCs/>
        </w:rPr>
      </w:pPr>
      <w:r w:rsidRPr="00EE7A45">
        <w:rPr>
          <w:rFonts w:eastAsiaTheme="minorEastAsia" w:cstheme="minorHAnsi"/>
          <w:b/>
          <w:bCs/>
        </w:rPr>
        <w:t xml:space="preserve">Chapitre 20 : Immobilisations incorporelles </w:t>
      </w:r>
      <w:bookmarkStart w:id="0" w:name="_Hlk30524238"/>
      <w:r w:rsidRPr="00EE7A45">
        <w:rPr>
          <w:rFonts w:eastAsiaTheme="minorEastAsia" w:cstheme="minorHAnsi"/>
          <w:b/>
          <w:bCs/>
        </w:rPr>
        <w:tab/>
        <w:t>266</w:t>
      </w:r>
      <w:r w:rsidRPr="00EE7A45">
        <w:rPr>
          <w:rFonts w:eastAsiaTheme="minorEastAsia" w:cstheme="minorHAnsi"/>
        </w:rPr>
        <w:t> </w:t>
      </w:r>
      <w:r w:rsidRPr="00EE7A45">
        <w:rPr>
          <w:rFonts w:eastAsiaTheme="minorEastAsia" w:cstheme="minorHAnsi"/>
          <w:b/>
          <w:bCs/>
        </w:rPr>
        <w:t>892,00 €</w:t>
      </w:r>
    </w:p>
    <w:bookmarkEnd w:id="0"/>
    <w:p w14:paraId="5F8F6D5E" w14:textId="0A796C1C" w:rsidR="002F7CE9" w:rsidRPr="00EE7A45" w:rsidRDefault="006060B9" w:rsidP="006060B9">
      <w:pPr>
        <w:tabs>
          <w:tab w:val="decimal" w:pos="8647"/>
        </w:tabs>
        <w:spacing w:before="120" w:after="120" w:line="240" w:lineRule="auto"/>
        <w:jc w:val="both"/>
        <w:rPr>
          <w:rFonts w:eastAsiaTheme="minorEastAsia" w:cstheme="minorHAnsi"/>
        </w:rPr>
      </w:pPr>
      <w:r w:rsidRPr="00EE7A45">
        <w:rPr>
          <w:rFonts w:eastAsiaTheme="minorEastAsia" w:cstheme="minorHAnsi"/>
        </w:rPr>
        <w:t>Maîtrise d’œuvre et assistance pour le SCOT</w:t>
      </w:r>
      <w:r w:rsidR="002F7CE9" w:rsidRPr="00EE7A45">
        <w:rPr>
          <w:rFonts w:eastAsiaTheme="minorEastAsia" w:cstheme="minorHAnsi"/>
        </w:rPr>
        <w:tab/>
        <w:t>57 600,00 €</w:t>
      </w:r>
    </w:p>
    <w:p w14:paraId="3A3BAF40" w14:textId="49B9107B" w:rsidR="006060B9" w:rsidRPr="00EE7A45" w:rsidRDefault="006060B9" w:rsidP="006060B9">
      <w:pPr>
        <w:tabs>
          <w:tab w:val="decimal" w:pos="7938"/>
          <w:tab w:val="decimal" w:pos="8789"/>
        </w:tabs>
        <w:spacing w:after="0" w:line="240" w:lineRule="auto"/>
        <w:jc w:val="both"/>
        <w:rPr>
          <w:rFonts w:eastAsiaTheme="minorEastAsia" w:cstheme="minorHAnsi"/>
        </w:rPr>
      </w:pPr>
      <w:bookmarkStart w:id="1" w:name="_Hlk61679176"/>
      <w:r w:rsidRPr="00EE7A45">
        <w:rPr>
          <w:rFonts w:eastAsiaTheme="minorEastAsia" w:cstheme="minorHAnsi"/>
        </w:rPr>
        <w:t xml:space="preserve">Etudes relatives à la réalisation des études préalables au projet de Golf, </w:t>
      </w:r>
    </w:p>
    <w:p w14:paraId="1EBEF8C7" w14:textId="77777777" w:rsidR="006060B9" w:rsidRPr="00EE7A45" w:rsidRDefault="006060B9" w:rsidP="006060B9">
      <w:pPr>
        <w:tabs>
          <w:tab w:val="decimal" w:pos="7938"/>
          <w:tab w:val="decimal" w:pos="8789"/>
        </w:tabs>
        <w:spacing w:after="0" w:line="240" w:lineRule="auto"/>
        <w:jc w:val="both"/>
        <w:rPr>
          <w:rFonts w:eastAsiaTheme="minorEastAsia" w:cstheme="minorHAnsi"/>
        </w:rPr>
      </w:pPr>
      <w:r w:rsidRPr="00EE7A45">
        <w:rPr>
          <w:rFonts w:eastAsiaTheme="minorEastAsia" w:cstheme="minorHAnsi"/>
        </w:rPr>
        <w:t>à la création d’un appontement fluvial à Port Médoc</w:t>
      </w:r>
    </w:p>
    <w:p w14:paraId="346542BC" w14:textId="28C93110" w:rsidR="002F7CE9" w:rsidRPr="00EE7A45" w:rsidRDefault="006060B9" w:rsidP="006060B9">
      <w:pPr>
        <w:tabs>
          <w:tab w:val="decimal" w:pos="8647"/>
        </w:tabs>
        <w:spacing w:after="120" w:line="240" w:lineRule="auto"/>
        <w:jc w:val="both"/>
        <w:rPr>
          <w:rFonts w:eastAsiaTheme="minorEastAsia" w:cstheme="minorHAnsi"/>
        </w:rPr>
      </w:pPr>
      <w:r w:rsidRPr="00EE7A45">
        <w:rPr>
          <w:rFonts w:eastAsiaTheme="minorEastAsia" w:cstheme="minorHAnsi"/>
        </w:rPr>
        <w:t>et à l’ancienne gare du Verdon sur Mer</w:t>
      </w:r>
      <w:r w:rsidR="002F7CE9" w:rsidRPr="00EE7A45">
        <w:rPr>
          <w:rFonts w:eastAsiaTheme="minorEastAsia" w:cstheme="minorHAnsi"/>
        </w:rPr>
        <w:tab/>
        <w:t>195 691,20 €</w:t>
      </w:r>
    </w:p>
    <w:bookmarkEnd w:id="1"/>
    <w:p w14:paraId="36E0A030" w14:textId="386BE06B" w:rsidR="002F7CE9" w:rsidRPr="00EE7A45" w:rsidRDefault="006060B9" w:rsidP="006060B9">
      <w:pPr>
        <w:tabs>
          <w:tab w:val="decimal" w:pos="8647"/>
        </w:tabs>
        <w:spacing w:after="120" w:line="240" w:lineRule="auto"/>
        <w:jc w:val="both"/>
        <w:rPr>
          <w:rFonts w:eastAsiaTheme="minorEastAsia" w:cstheme="minorHAnsi"/>
        </w:rPr>
      </w:pPr>
      <w:r w:rsidRPr="00EE7A45">
        <w:rPr>
          <w:rFonts w:eastAsiaTheme="minorEastAsia" w:cstheme="minorHAnsi"/>
        </w:rPr>
        <w:t>Publicité assistance à maîtrise d’ouvrage sur le golf</w:t>
      </w:r>
      <w:r w:rsidR="002F7CE9" w:rsidRPr="00EE7A45">
        <w:rPr>
          <w:rFonts w:eastAsiaTheme="minorEastAsia" w:cstheme="minorHAnsi"/>
        </w:rPr>
        <w:tab/>
        <w:t>540,00 €</w:t>
      </w:r>
    </w:p>
    <w:p w14:paraId="1E0F5A93" w14:textId="77777777" w:rsidR="006060B9" w:rsidRPr="00EE7A45" w:rsidRDefault="006060B9" w:rsidP="006060B9">
      <w:pPr>
        <w:tabs>
          <w:tab w:val="decimal" w:pos="7938"/>
          <w:tab w:val="decimal" w:pos="8789"/>
        </w:tabs>
        <w:spacing w:after="0" w:line="240" w:lineRule="auto"/>
        <w:jc w:val="both"/>
        <w:rPr>
          <w:rFonts w:eastAsiaTheme="minorEastAsia" w:cstheme="minorHAnsi"/>
        </w:rPr>
      </w:pPr>
      <w:r w:rsidRPr="00EE7A45">
        <w:rPr>
          <w:rFonts w:eastAsiaTheme="minorEastAsia" w:cstheme="minorHAnsi"/>
        </w:rPr>
        <w:t xml:space="preserve">Acquisition de logiciels : urbanisme (GNAU), </w:t>
      </w:r>
    </w:p>
    <w:p w14:paraId="335D440F" w14:textId="2451DB8F" w:rsidR="002F7CE9" w:rsidRPr="00EE7A45" w:rsidRDefault="006060B9" w:rsidP="006060B9">
      <w:pPr>
        <w:tabs>
          <w:tab w:val="decimal" w:pos="8789"/>
        </w:tabs>
        <w:spacing w:after="0" w:line="240" w:lineRule="auto"/>
        <w:jc w:val="both"/>
        <w:rPr>
          <w:rFonts w:eastAsiaTheme="minorEastAsia" w:cstheme="minorHAnsi"/>
        </w:rPr>
      </w:pPr>
      <w:r w:rsidRPr="00EE7A45">
        <w:rPr>
          <w:rFonts w:eastAsiaTheme="minorEastAsia" w:cstheme="minorHAnsi"/>
        </w:rPr>
        <w:t>accès distant au serveur (télétravail) et logiciel de dessin (GEMAPI).</w:t>
      </w:r>
      <w:r w:rsidR="002F7CE9" w:rsidRPr="00EE7A45">
        <w:rPr>
          <w:rFonts w:eastAsiaTheme="minorEastAsia" w:cstheme="minorHAnsi"/>
        </w:rPr>
        <w:tab/>
        <w:t>13 060,80 €</w:t>
      </w:r>
    </w:p>
    <w:p w14:paraId="7CD99CDE" w14:textId="77777777" w:rsidR="002F7CE9" w:rsidRPr="00EE7A45" w:rsidRDefault="002F7CE9" w:rsidP="002F7CE9">
      <w:pPr>
        <w:tabs>
          <w:tab w:val="decimal" w:pos="9639"/>
        </w:tabs>
        <w:spacing w:before="240" w:after="0" w:line="240" w:lineRule="auto"/>
        <w:jc w:val="both"/>
        <w:rPr>
          <w:rFonts w:eastAsiaTheme="minorEastAsia" w:cstheme="minorHAnsi"/>
        </w:rPr>
      </w:pPr>
      <w:r w:rsidRPr="00EE7A45">
        <w:rPr>
          <w:rFonts w:eastAsiaTheme="minorEastAsia" w:cstheme="minorHAnsi"/>
          <w:b/>
          <w:bCs/>
        </w:rPr>
        <w:t>Chapitre 204 : Subventions d’équipement versées</w:t>
      </w:r>
      <w:r w:rsidRPr="00EE7A45">
        <w:rPr>
          <w:rFonts w:eastAsiaTheme="minorEastAsia" w:cstheme="minorHAnsi"/>
        </w:rPr>
        <w:tab/>
      </w:r>
      <w:r w:rsidRPr="00EE7A45">
        <w:rPr>
          <w:rFonts w:eastAsiaTheme="minorEastAsia" w:cstheme="minorHAnsi"/>
          <w:b/>
          <w:bCs/>
        </w:rPr>
        <w:t>94 044,00 €</w:t>
      </w:r>
    </w:p>
    <w:p w14:paraId="4363FC2A" w14:textId="77777777" w:rsidR="002F7CE9" w:rsidRPr="00EE7A45" w:rsidRDefault="002F7CE9" w:rsidP="002F7CE9">
      <w:pPr>
        <w:tabs>
          <w:tab w:val="decimal" w:pos="9639"/>
        </w:tabs>
        <w:spacing w:after="240" w:line="240" w:lineRule="auto"/>
        <w:jc w:val="both"/>
        <w:rPr>
          <w:rFonts w:eastAsiaTheme="minorEastAsia" w:cstheme="minorHAnsi"/>
        </w:rPr>
      </w:pPr>
      <w:r w:rsidRPr="00EE7A45">
        <w:rPr>
          <w:rFonts w:eastAsiaTheme="minorEastAsia" w:cstheme="minorHAnsi"/>
        </w:rPr>
        <w:t>Desserte en fibre optique du territoire</w:t>
      </w:r>
    </w:p>
    <w:p w14:paraId="6DCDB97D" w14:textId="77777777" w:rsidR="002F7CE9" w:rsidRPr="00EE7A45" w:rsidRDefault="002F7CE9" w:rsidP="002F7CE9">
      <w:pPr>
        <w:tabs>
          <w:tab w:val="right" w:pos="9070"/>
        </w:tabs>
        <w:spacing w:after="0" w:line="240" w:lineRule="auto"/>
        <w:jc w:val="both"/>
        <w:rPr>
          <w:rFonts w:eastAsiaTheme="minorEastAsia" w:cstheme="minorHAnsi"/>
          <w:b/>
          <w:bCs/>
        </w:rPr>
      </w:pPr>
      <w:r w:rsidRPr="00EE7A45">
        <w:rPr>
          <w:rFonts w:eastAsiaTheme="minorEastAsia" w:cstheme="minorHAnsi"/>
          <w:b/>
          <w:bCs/>
        </w:rPr>
        <w:t>Chapitre 21 : Immobilisations corporelles (hors RAR en dépenses</w:t>
      </w:r>
      <w:r w:rsidRPr="00EE7A45">
        <w:rPr>
          <w:rFonts w:eastAsiaTheme="minorEastAsia" w:cstheme="minorHAnsi"/>
        </w:rPr>
        <w:t>) :</w:t>
      </w:r>
      <w:r w:rsidRPr="00EE7A45">
        <w:rPr>
          <w:rFonts w:eastAsiaTheme="minorEastAsia" w:cstheme="minorHAnsi"/>
        </w:rPr>
        <w:tab/>
      </w:r>
      <w:r w:rsidRPr="00EE7A45">
        <w:rPr>
          <w:rFonts w:eastAsiaTheme="minorEastAsia" w:cstheme="minorHAnsi"/>
          <w:b/>
          <w:bCs/>
        </w:rPr>
        <w:t>692 164,85 €</w:t>
      </w:r>
    </w:p>
    <w:p w14:paraId="0851CF46" w14:textId="1CA96F24" w:rsidR="002F7CE9" w:rsidRPr="00EE7A45" w:rsidRDefault="006060B9" w:rsidP="002F7CE9">
      <w:pPr>
        <w:tabs>
          <w:tab w:val="decimal" w:pos="8647"/>
        </w:tabs>
        <w:spacing w:before="120" w:after="0" w:line="240" w:lineRule="auto"/>
        <w:jc w:val="both"/>
        <w:rPr>
          <w:rFonts w:eastAsiaTheme="minorEastAsia" w:cstheme="minorHAnsi"/>
        </w:rPr>
      </w:pPr>
      <w:r w:rsidRPr="00EE7A45">
        <w:rPr>
          <w:rFonts w:eastAsiaTheme="minorEastAsia" w:cstheme="minorHAnsi"/>
        </w:rPr>
        <w:t>Déplacement réseau copropriété de la plage</w:t>
      </w:r>
      <w:r w:rsidR="002F7CE9" w:rsidRPr="00EE7A45">
        <w:rPr>
          <w:rFonts w:eastAsiaTheme="minorEastAsia" w:cstheme="minorHAnsi"/>
        </w:rPr>
        <w:tab/>
        <w:t>2 980,36 €</w:t>
      </w:r>
    </w:p>
    <w:p w14:paraId="42910F8A" w14:textId="560AC0B1" w:rsidR="002F7CE9" w:rsidRPr="00EE7A45" w:rsidRDefault="006060B9" w:rsidP="002F7CE9">
      <w:pPr>
        <w:tabs>
          <w:tab w:val="decimal" w:pos="8647"/>
        </w:tabs>
        <w:spacing w:before="120" w:after="0" w:line="240" w:lineRule="auto"/>
        <w:jc w:val="both"/>
        <w:rPr>
          <w:rFonts w:eastAsiaTheme="minorEastAsia" w:cstheme="minorHAnsi"/>
        </w:rPr>
      </w:pPr>
      <w:r w:rsidRPr="00EE7A45">
        <w:rPr>
          <w:rFonts w:eastAsiaTheme="minorEastAsia" w:cstheme="minorHAnsi"/>
        </w:rPr>
        <w:t>Déplacement réseau copropriété de la plage</w:t>
      </w:r>
      <w:r w:rsidR="002F7CE9" w:rsidRPr="00EE7A45">
        <w:rPr>
          <w:rFonts w:eastAsiaTheme="minorEastAsia" w:cstheme="minorHAnsi"/>
        </w:rPr>
        <w:tab/>
        <w:t>5 520,00 €</w:t>
      </w:r>
    </w:p>
    <w:p w14:paraId="7E2B2B13" w14:textId="2A59ED76" w:rsidR="002F7CE9" w:rsidRPr="00EE7A45" w:rsidRDefault="006060B9" w:rsidP="002F7CE9">
      <w:pPr>
        <w:tabs>
          <w:tab w:val="decimal" w:pos="8789"/>
        </w:tabs>
        <w:spacing w:before="120" w:after="0" w:line="240" w:lineRule="auto"/>
        <w:jc w:val="both"/>
        <w:rPr>
          <w:rFonts w:eastAsiaTheme="minorEastAsia" w:cstheme="minorHAnsi"/>
        </w:rPr>
      </w:pPr>
      <w:r w:rsidRPr="00EE7A45">
        <w:rPr>
          <w:rFonts w:eastAsiaTheme="minorEastAsia" w:cstheme="minorHAnsi"/>
        </w:rPr>
        <w:t>Acquisition de matériels et outillages des ST pour la voirie.</w:t>
      </w:r>
      <w:r w:rsidR="002F7CE9" w:rsidRPr="00EE7A45">
        <w:rPr>
          <w:rFonts w:eastAsiaTheme="minorEastAsia" w:cstheme="minorHAnsi"/>
        </w:rPr>
        <w:tab/>
        <w:t>21 948,00 €</w:t>
      </w:r>
    </w:p>
    <w:p w14:paraId="1BF8F4FE" w14:textId="77777777" w:rsidR="006060B9" w:rsidRPr="00EE7A45" w:rsidRDefault="006060B9" w:rsidP="006060B9">
      <w:pPr>
        <w:tabs>
          <w:tab w:val="decimal" w:pos="4536"/>
          <w:tab w:val="decimal" w:pos="7938"/>
        </w:tabs>
        <w:spacing w:after="0" w:line="240" w:lineRule="auto"/>
        <w:jc w:val="both"/>
        <w:rPr>
          <w:rFonts w:eastAsiaTheme="minorEastAsia" w:cstheme="minorHAnsi"/>
        </w:rPr>
      </w:pPr>
      <w:r w:rsidRPr="00EE7A45">
        <w:rPr>
          <w:rFonts w:eastAsiaTheme="minorEastAsia" w:cstheme="minorHAnsi"/>
        </w:rPr>
        <w:t>Réparation de dégradations sur l’aire d’accueil des gens</w:t>
      </w:r>
    </w:p>
    <w:p w14:paraId="2116DEDE" w14:textId="228F41C8" w:rsidR="002F7CE9" w:rsidRPr="00EE7A45" w:rsidRDefault="006060B9" w:rsidP="006060B9">
      <w:pPr>
        <w:tabs>
          <w:tab w:val="decimal" w:pos="8647"/>
        </w:tabs>
        <w:spacing w:after="0" w:line="240" w:lineRule="auto"/>
        <w:jc w:val="both"/>
        <w:rPr>
          <w:rFonts w:eastAsiaTheme="minorEastAsia" w:cstheme="minorHAnsi"/>
        </w:rPr>
      </w:pPr>
      <w:r w:rsidRPr="00EE7A45">
        <w:rPr>
          <w:rFonts w:eastAsiaTheme="minorEastAsia" w:cstheme="minorHAnsi"/>
        </w:rPr>
        <w:t>du voyage, outillages à mains des ST</w:t>
      </w:r>
      <w:r w:rsidR="002F7CE9" w:rsidRPr="00EE7A45">
        <w:rPr>
          <w:rFonts w:eastAsiaTheme="minorEastAsia" w:cstheme="minorHAnsi"/>
        </w:rPr>
        <w:t xml:space="preserve"> </w:t>
      </w:r>
      <w:r w:rsidR="002F7CE9" w:rsidRPr="00EE7A45">
        <w:rPr>
          <w:rFonts w:eastAsiaTheme="minorEastAsia" w:cstheme="minorHAnsi"/>
        </w:rPr>
        <w:tab/>
        <w:t>12 181,16 €</w:t>
      </w:r>
    </w:p>
    <w:p w14:paraId="0C9A6806" w14:textId="77777777" w:rsidR="006060B9" w:rsidRPr="00EE7A45" w:rsidRDefault="006060B9" w:rsidP="006060B9">
      <w:pPr>
        <w:tabs>
          <w:tab w:val="decimal" w:pos="4536"/>
          <w:tab w:val="decimal" w:pos="7938"/>
        </w:tabs>
        <w:spacing w:before="120" w:after="0" w:line="240" w:lineRule="auto"/>
        <w:jc w:val="both"/>
        <w:rPr>
          <w:rFonts w:eastAsiaTheme="minorEastAsia" w:cstheme="minorHAnsi"/>
        </w:rPr>
      </w:pPr>
      <w:r w:rsidRPr="00EE7A45">
        <w:rPr>
          <w:rFonts w:eastAsiaTheme="minorEastAsia" w:cstheme="minorHAnsi"/>
        </w:rPr>
        <w:t>Maîtrise d’œuvre, installations générales, agencement et</w:t>
      </w:r>
    </w:p>
    <w:p w14:paraId="0570B595" w14:textId="1A9561A8" w:rsidR="002F7CE9" w:rsidRPr="00EE7A45" w:rsidRDefault="006060B9" w:rsidP="006060B9">
      <w:pPr>
        <w:tabs>
          <w:tab w:val="decimal" w:pos="8789"/>
        </w:tabs>
        <w:spacing w:after="0" w:line="240" w:lineRule="auto"/>
        <w:jc w:val="both"/>
        <w:rPr>
          <w:rFonts w:eastAsiaTheme="minorEastAsia" w:cstheme="minorHAnsi"/>
        </w:rPr>
      </w:pPr>
      <w:r w:rsidRPr="00EE7A45">
        <w:rPr>
          <w:rFonts w:eastAsiaTheme="minorEastAsia" w:cstheme="minorHAnsi"/>
        </w:rPr>
        <w:t>Aménagement des constructions (Office de Tourisme, tiers-lieu)</w:t>
      </w:r>
      <w:r w:rsidR="002F7CE9" w:rsidRPr="00EE7A45">
        <w:rPr>
          <w:rFonts w:eastAsiaTheme="minorEastAsia" w:cstheme="minorHAnsi"/>
        </w:rPr>
        <w:tab/>
        <w:t>420 716,28 €</w:t>
      </w:r>
    </w:p>
    <w:p w14:paraId="2DF5CBC7" w14:textId="732C7BE8" w:rsidR="002F7CE9" w:rsidRPr="00EE7A45" w:rsidRDefault="002F7CE9" w:rsidP="002F7CE9">
      <w:pPr>
        <w:tabs>
          <w:tab w:val="decimal" w:pos="4536"/>
          <w:tab w:val="decimal" w:pos="7938"/>
        </w:tabs>
        <w:spacing w:after="0" w:line="240" w:lineRule="auto"/>
        <w:jc w:val="both"/>
        <w:rPr>
          <w:rFonts w:eastAsiaTheme="minorEastAsia" w:cstheme="minorHAnsi"/>
        </w:rPr>
      </w:pPr>
    </w:p>
    <w:p w14:paraId="499761B1" w14:textId="2623237E" w:rsidR="002F7CE9" w:rsidRPr="00EE7A45" w:rsidRDefault="006060B9" w:rsidP="002F7CE9">
      <w:pPr>
        <w:tabs>
          <w:tab w:val="decimal" w:pos="8789"/>
        </w:tabs>
        <w:spacing w:before="120" w:after="0" w:line="240" w:lineRule="auto"/>
        <w:jc w:val="both"/>
        <w:rPr>
          <w:rFonts w:eastAsiaTheme="minorEastAsia" w:cstheme="minorHAnsi"/>
        </w:rPr>
      </w:pPr>
      <w:r w:rsidRPr="00EE7A45">
        <w:rPr>
          <w:rFonts w:eastAsiaTheme="minorEastAsia" w:cstheme="minorHAnsi"/>
        </w:rPr>
        <w:t>Travaux de remise en état des berges de Saint Vivien</w:t>
      </w:r>
      <w:r w:rsidR="002F7CE9" w:rsidRPr="00EE7A45">
        <w:rPr>
          <w:rFonts w:eastAsiaTheme="minorEastAsia" w:cstheme="minorHAnsi"/>
        </w:rPr>
        <w:tab/>
        <w:t>34 736,22 €</w:t>
      </w:r>
    </w:p>
    <w:p w14:paraId="4F8B9951" w14:textId="349FD8AE" w:rsidR="002F7CE9" w:rsidRPr="00EE7A45" w:rsidRDefault="006060B9" w:rsidP="002F7CE9">
      <w:pPr>
        <w:tabs>
          <w:tab w:val="decimal" w:pos="4536"/>
          <w:tab w:val="decimal" w:pos="7938"/>
        </w:tabs>
        <w:spacing w:after="0" w:line="240" w:lineRule="auto"/>
        <w:jc w:val="both"/>
        <w:rPr>
          <w:rFonts w:eastAsiaTheme="minorEastAsia" w:cstheme="minorHAnsi"/>
        </w:rPr>
      </w:pPr>
      <w:r w:rsidRPr="00EE7A45">
        <w:rPr>
          <w:rFonts w:eastAsiaTheme="minorEastAsia" w:cstheme="minorHAnsi"/>
        </w:rPr>
        <w:t xml:space="preserve">et pose d’une alarme dans les locaux </w:t>
      </w:r>
      <w:proofErr w:type="spellStart"/>
      <w:r w:rsidRPr="00EE7A45">
        <w:rPr>
          <w:rFonts w:eastAsiaTheme="minorEastAsia" w:cstheme="minorHAnsi"/>
        </w:rPr>
        <w:t>urba</w:t>
      </w:r>
      <w:proofErr w:type="spellEnd"/>
      <w:r w:rsidRPr="00EE7A45">
        <w:rPr>
          <w:rFonts w:eastAsiaTheme="minorEastAsia" w:cstheme="minorHAnsi"/>
        </w:rPr>
        <w:t>/ST</w:t>
      </w:r>
    </w:p>
    <w:p w14:paraId="46938595" w14:textId="5CFF5186" w:rsidR="006060B9" w:rsidRPr="00EE7A45" w:rsidRDefault="006060B9" w:rsidP="006060B9">
      <w:pPr>
        <w:tabs>
          <w:tab w:val="decimal" w:pos="4536"/>
          <w:tab w:val="decimal" w:pos="7938"/>
        </w:tabs>
        <w:spacing w:after="0" w:line="240" w:lineRule="auto"/>
        <w:jc w:val="both"/>
        <w:rPr>
          <w:rFonts w:eastAsiaTheme="minorEastAsia" w:cstheme="minorHAnsi"/>
        </w:rPr>
      </w:pPr>
      <w:r w:rsidRPr="00EE7A45">
        <w:rPr>
          <w:rFonts w:eastAsiaTheme="minorEastAsia" w:cstheme="minorHAnsi"/>
        </w:rPr>
        <w:t>Acquisition de véhicules terrestres pour le service démoustication (2 utilitaires),</w:t>
      </w:r>
    </w:p>
    <w:p w14:paraId="574B69B7" w14:textId="24788FFB" w:rsidR="002F7CE9" w:rsidRPr="00EE7A45" w:rsidRDefault="006060B9" w:rsidP="006060B9">
      <w:pPr>
        <w:tabs>
          <w:tab w:val="decimal" w:pos="8789"/>
        </w:tabs>
        <w:spacing w:after="0" w:line="240" w:lineRule="auto"/>
        <w:jc w:val="both"/>
        <w:rPr>
          <w:rFonts w:eastAsiaTheme="minorEastAsia" w:cstheme="minorHAnsi"/>
        </w:rPr>
      </w:pPr>
      <w:r w:rsidRPr="00EE7A45">
        <w:rPr>
          <w:rFonts w:eastAsiaTheme="minorEastAsia" w:cstheme="minorHAnsi"/>
        </w:rPr>
        <w:t xml:space="preserve">les ST (Duster), la surveillance des plages (3 </w:t>
      </w:r>
      <w:proofErr w:type="spellStart"/>
      <w:r w:rsidRPr="00EE7A45">
        <w:rPr>
          <w:rFonts w:eastAsiaTheme="minorEastAsia" w:cstheme="minorHAnsi"/>
        </w:rPr>
        <w:t>polaris</w:t>
      </w:r>
      <w:proofErr w:type="spellEnd"/>
      <w:r w:rsidRPr="00EE7A45">
        <w:rPr>
          <w:rFonts w:eastAsiaTheme="minorEastAsia" w:cstheme="minorHAnsi"/>
        </w:rPr>
        <w:t>) et le Ram (1 Kangoo).</w:t>
      </w:r>
      <w:r w:rsidR="002F7CE9" w:rsidRPr="00EE7A45">
        <w:rPr>
          <w:rFonts w:eastAsiaTheme="minorEastAsia" w:cstheme="minorHAnsi"/>
        </w:rPr>
        <w:tab/>
        <w:t>119 748,54 €</w:t>
      </w:r>
    </w:p>
    <w:p w14:paraId="3C1E97BB" w14:textId="77777777" w:rsidR="006060B9" w:rsidRPr="00EE7A45" w:rsidRDefault="006060B9" w:rsidP="006060B9">
      <w:pPr>
        <w:tabs>
          <w:tab w:val="decimal" w:pos="4536"/>
          <w:tab w:val="decimal" w:pos="7938"/>
        </w:tabs>
        <w:spacing w:before="120" w:after="0" w:line="240" w:lineRule="auto"/>
        <w:jc w:val="both"/>
        <w:rPr>
          <w:rFonts w:eastAsiaTheme="minorEastAsia" w:cstheme="minorHAnsi"/>
        </w:rPr>
      </w:pPr>
      <w:r w:rsidRPr="00EE7A45">
        <w:rPr>
          <w:rFonts w:eastAsiaTheme="minorEastAsia" w:cstheme="minorHAnsi"/>
        </w:rPr>
        <w:t xml:space="preserve">Acquisition de matériels informatiques pour les services, permettant </w:t>
      </w:r>
    </w:p>
    <w:p w14:paraId="2EB46FE2" w14:textId="7A6F68B0" w:rsidR="002F7CE9" w:rsidRPr="00EE7A45" w:rsidRDefault="006060B9" w:rsidP="006060B9">
      <w:pPr>
        <w:tabs>
          <w:tab w:val="decimal" w:pos="8647"/>
        </w:tabs>
        <w:spacing w:after="0" w:line="240" w:lineRule="auto"/>
        <w:jc w:val="both"/>
        <w:rPr>
          <w:rFonts w:eastAsiaTheme="minorEastAsia" w:cstheme="minorHAnsi"/>
        </w:rPr>
      </w:pPr>
      <w:r w:rsidRPr="00EE7A45">
        <w:rPr>
          <w:rFonts w:eastAsiaTheme="minorEastAsia" w:cstheme="minorHAnsi"/>
        </w:rPr>
        <w:t xml:space="preserve">le travail à distance, l’équipement du tiers-lieu et du pôle </w:t>
      </w:r>
      <w:proofErr w:type="spellStart"/>
      <w:r w:rsidRPr="00EE7A45">
        <w:rPr>
          <w:rFonts w:eastAsiaTheme="minorEastAsia" w:cstheme="minorHAnsi"/>
        </w:rPr>
        <w:t>urba</w:t>
      </w:r>
      <w:proofErr w:type="spellEnd"/>
      <w:r w:rsidRPr="00EE7A45">
        <w:rPr>
          <w:rFonts w:eastAsiaTheme="minorEastAsia" w:cstheme="minorHAnsi"/>
        </w:rPr>
        <w:t>/ST</w:t>
      </w:r>
      <w:r w:rsidR="002F7CE9" w:rsidRPr="00EE7A45">
        <w:rPr>
          <w:rFonts w:eastAsiaTheme="minorEastAsia" w:cstheme="minorHAnsi"/>
        </w:rPr>
        <w:tab/>
        <w:t>30 382,01 €</w:t>
      </w:r>
    </w:p>
    <w:p w14:paraId="6D5B7692" w14:textId="77777777" w:rsidR="006060B9" w:rsidRPr="00EE7A45" w:rsidRDefault="006060B9" w:rsidP="00D33B17">
      <w:pPr>
        <w:tabs>
          <w:tab w:val="decimal" w:pos="4536"/>
          <w:tab w:val="decimal" w:pos="7938"/>
        </w:tabs>
        <w:spacing w:before="120" w:after="0" w:line="240" w:lineRule="auto"/>
        <w:jc w:val="both"/>
        <w:rPr>
          <w:rFonts w:eastAsiaTheme="minorEastAsia" w:cstheme="minorHAnsi"/>
        </w:rPr>
      </w:pPr>
      <w:r w:rsidRPr="00EE7A45">
        <w:rPr>
          <w:rFonts w:eastAsiaTheme="minorEastAsia" w:cstheme="minorHAnsi"/>
        </w:rPr>
        <w:lastRenderedPageBreak/>
        <w:t xml:space="preserve">Acquisitions de mobiliers pour les besoins des services communautaires, </w:t>
      </w:r>
    </w:p>
    <w:p w14:paraId="4C5092A6" w14:textId="57088DB3" w:rsidR="002F7CE9" w:rsidRPr="00EE7A45" w:rsidRDefault="006060B9" w:rsidP="00D33B17">
      <w:pPr>
        <w:tabs>
          <w:tab w:val="decimal" w:pos="4536"/>
          <w:tab w:val="decimal" w:pos="8647"/>
        </w:tabs>
        <w:spacing w:after="0" w:line="240" w:lineRule="auto"/>
        <w:jc w:val="both"/>
        <w:rPr>
          <w:rFonts w:eastAsiaTheme="minorEastAsia" w:cstheme="minorHAnsi"/>
        </w:rPr>
      </w:pPr>
      <w:r w:rsidRPr="00EE7A45">
        <w:rPr>
          <w:rFonts w:eastAsiaTheme="minorEastAsia" w:cstheme="minorHAnsi"/>
        </w:rPr>
        <w:t>des postes de secours et du tiers-lieu</w:t>
      </w:r>
      <w:r w:rsidR="002F7CE9" w:rsidRPr="00EE7A45">
        <w:rPr>
          <w:rFonts w:eastAsiaTheme="minorEastAsia" w:cstheme="minorHAnsi"/>
        </w:rPr>
        <w:tab/>
      </w:r>
      <w:r w:rsidRPr="00EE7A45">
        <w:rPr>
          <w:rFonts w:eastAsiaTheme="minorEastAsia" w:cstheme="minorHAnsi"/>
        </w:rPr>
        <w:tab/>
      </w:r>
      <w:r w:rsidR="002F7CE9" w:rsidRPr="00EE7A45">
        <w:rPr>
          <w:rFonts w:eastAsiaTheme="minorEastAsia" w:cstheme="minorHAnsi"/>
        </w:rPr>
        <w:t>36 336,09 €</w:t>
      </w:r>
    </w:p>
    <w:p w14:paraId="338D634F" w14:textId="4F5B4DFF" w:rsidR="002F7CE9" w:rsidRPr="00EE7A45" w:rsidRDefault="006060B9" w:rsidP="00D33B17">
      <w:pPr>
        <w:tabs>
          <w:tab w:val="decimal" w:pos="4536"/>
          <w:tab w:val="decimal" w:pos="8647"/>
        </w:tabs>
        <w:spacing w:before="120" w:after="0" w:line="240" w:lineRule="auto"/>
        <w:jc w:val="both"/>
        <w:rPr>
          <w:rFonts w:eastAsiaTheme="minorEastAsia" w:cstheme="minorHAnsi"/>
        </w:rPr>
      </w:pPr>
      <w:r w:rsidRPr="00EE7A45">
        <w:rPr>
          <w:rFonts w:eastAsiaTheme="minorEastAsia" w:cstheme="minorHAnsi"/>
        </w:rPr>
        <w:t>Petits matériels nécessaires au fonctionnement des postes de secours</w:t>
      </w:r>
      <w:r w:rsidR="002F7CE9" w:rsidRPr="00EE7A45">
        <w:rPr>
          <w:rFonts w:eastAsiaTheme="minorEastAsia" w:cstheme="minorHAnsi"/>
        </w:rPr>
        <w:tab/>
        <w:t>7 615,90 €</w:t>
      </w:r>
    </w:p>
    <w:p w14:paraId="1CD0E324" w14:textId="77777777" w:rsidR="002F7CE9" w:rsidRPr="00EE7A45" w:rsidRDefault="002F7CE9" w:rsidP="00D33B17">
      <w:pPr>
        <w:tabs>
          <w:tab w:val="decimal" w:pos="8789"/>
        </w:tabs>
        <w:spacing w:before="240" w:after="0" w:line="240" w:lineRule="auto"/>
        <w:jc w:val="both"/>
        <w:rPr>
          <w:rFonts w:eastAsiaTheme="minorEastAsia" w:cstheme="minorHAnsi"/>
          <w:b/>
          <w:bCs/>
        </w:rPr>
      </w:pPr>
      <w:r w:rsidRPr="00EE7A45">
        <w:rPr>
          <w:rFonts w:eastAsiaTheme="minorEastAsia" w:cstheme="minorHAnsi"/>
          <w:b/>
          <w:bCs/>
        </w:rPr>
        <w:t>Chapitre 23 : Immobilisations en cours (hors RAR en dépenses) :</w:t>
      </w:r>
      <w:r w:rsidRPr="00EE7A45">
        <w:rPr>
          <w:rFonts w:eastAsiaTheme="minorEastAsia" w:cstheme="minorHAnsi"/>
          <w:b/>
          <w:bCs/>
        </w:rPr>
        <w:tab/>
        <w:t>3 068 406,16 €</w:t>
      </w:r>
    </w:p>
    <w:p w14:paraId="14A6A4D6" w14:textId="1FFD289C" w:rsidR="002F7CE9" w:rsidRPr="00EE7A45" w:rsidRDefault="002F7CE9" w:rsidP="00D33B17">
      <w:pPr>
        <w:tabs>
          <w:tab w:val="decimal" w:pos="8789"/>
        </w:tabs>
        <w:spacing w:before="120" w:after="0" w:line="240" w:lineRule="auto"/>
        <w:jc w:val="both"/>
        <w:rPr>
          <w:rFonts w:eastAsiaTheme="minorEastAsia" w:cstheme="minorHAnsi"/>
        </w:rPr>
      </w:pPr>
      <w:r w:rsidRPr="00EE7A45">
        <w:rPr>
          <w:rFonts w:eastAsiaTheme="minorEastAsia" w:cstheme="minorHAnsi"/>
        </w:rPr>
        <w:t>Etudes et maîtrise d’œuvre pour la réalisation du pôle voile</w:t>
      </w:r>
      <w:r w:rsidRPr="00EE7A45">
        <w:rPr>
          <w:rFonts w:eastAsiaTheme="minorEastAsia" w:cstheme="minorHAnsi"/>
        </w:rPr>
        <w:tab/>
        <w:t>43 540,89 €</w:t>
      </w:r>
    </w:p>
    <w:p w14:paraId="027DB721" w14:textId="77777777" w:rsidR="002F7CE9" w:rsidRPr="00EE7A45" w:rsidRDefault="002F7CE9" w:rsidP="00D33B17">
      <w:pPr>
        <w:tabs>
          <w:tab w:val="decimal" w:pos="7938"/>
        </w:tabs>
        <w:spacing w:before="120" w:after="0" w:line="240" w:lineRule="auto"/>
        <w:jc w:val="both"/>
        <w:rPr>
          <w:rFonts w:eastAsiaTheme="minorEastAsia" w:cstheme="minorHAnsi"/>
        </w:rPr>
      </w:pPr>
      <w:r w:rsidRPr="00EE7A45">
        <w:rPr>
          <w:rFonts w:eastAsiaTheme="minorEastAsia" w:cstheme="minorHAnsi"/>
        </w:rPr>
        <w:t>Honoraires d’études et maîtrise d’œuvre pour la reconstruction</w:t>
      </w:r>
    </w:p>
    <w:p w14:paraId="0047F2F7" w14:textId="2BE72915" w:rsidR="002F7CE9" w:rsidRPr="00EE7A45" w:rsidRDefault="002F7CE9" w:rsidP="00D33B17">
      <w:pPr>
        <w:tabs>
          <w:tab w:val="decimal" w:pos="8789"/>
        </w:tabs>
        <w:spacing w:after="0" w:line="240" w:lineRule="auto"/>
        <w:jc w:val="both"/>
        <w:rPr>
          <w:rFonts w:eastAsiaTheme="minorEastAsia" w:cstheme="minorHAnsi"/>
        </w:rPr>
      </w:pPr>
      <w:r w:rsidRPr="00EE7A45">
        <w:rPr>
          <w:rFonts w:eastAsiaTheme="minorEastAsia" w:cstheme="minorHAnsi"/>
        </w:rPr>
        <w:t>du PS carcans plage et de Maubuisson</w:t>
      </w:r>
      <w:r w:rsidRPr="00EE7A45">
        <w:rPr>
          <w:rFonts w:eastAsiaTheme="minorEastAsia" w:cstheme="minorHAnsi"/>
        </w:rPr>
        <w:tab/>
        <w:t>7 446,00 €</w:t>
      </w:r>
    </w:p>
    <w:p w14:paraId="6413E9DC" w14:textId="4315BFB2" w:rsidR="002F7CE9" w:rsidRPr="00EE7A45" w:rsidRDefault="002F7CE9" w:rsidP="00D33B17">
      <w:pPr>
        <w:tabs>
          <w:tab w:val="decimal" w:pos="7938"/>
        </w:tabs>
        <w:spacing w:before="120" w:after="0" w:line="240" w:lineRule="auto"/>
        <w:jc w:val="both"/>
        <w:rPr>
          <w:rFonts w:eastAsiaTheme="minorEastAsia" w:cstheme="minorHAnsi"/>
        </w:rPr>
      </w:pPr>
      <w:r w:rsidRPr="00EE7A45">
        <w:rPr>
          <w:rFonts w:eastAsiaTheme="minorEastAsia" w:cstheme="minorHAnsi"/>
        </w:rPr>
        <w:t xml:space="preserve">Travaux de réhabilitation des pistes cyclables et des routes d’intérêt </w:t>
      </w:r>
    </w:p>
    <w:p w14:paraId="4C85A75D" w14:textId="3FF36158" w:rsidR="002F7CE9" w:rsidRPr="00EE7A45" w:rsidRDefault="002F7CE9" w:rsidP="00D33B17">
      <w:pPr>
        <w:tabs>
          <w:tab w:val="decimal" w:pos="8789"/>
        </w:tabs>
        <w:spacing w:after="0" w:line="240" w:lineRule="auto"/>
        <w:jc w:val="both"/>
        <w:rPr>
          <w:rFonts w:eastAsiaTheme="minorEastAsia" w:cstheme="minorHAnsi"/>
        </w:rPr>
      </w:pPr>
      <w:r w:rsidRPr="00EE7A45">
        <w:rPr>
          <w:rFonts w:eastAsiaTheme="minorEastAsia" w:cstheme="minorHAnsi"/>
        </w:rPr>
        <w:t>communautaire, du plan plage du Lion et de la promenade de la Chambrette</w:t>
      </w:r>
      <w:r w:rsidRPr="00EE7A45">
        <w:rPr>
          <w:rFonts w:eastAsiaTheme="minorEastAsia" w:cstheme="minorHAnsi"/>
        </w:rPr>
        <w:tab/>
        <w:t>2 641 441,40 €</w:t>
      </w:r>
    </w:p>
    <w:p w14:paraId="23203AAC" w14:textId="4EBDE0D5" w:rsidR="002F7CE9" w:rsidRPr="00EE7A45" w:rsidRDefault="002F7CE9" w:rsidP="00D33B17">
      <w:pPr>
        <w:tabs>
          <w:tab w:val="decimal" w:pos="8647"/>
        </w:tabs>
        <w:spacing w:before="120" w:after="0" w:line="240" w:lineRule="auto"/>
        <w:jc w:val="both"/>
        <w:rPr>
          <w:rFonts w:eastAsiaTheme="minorEastAsia" w:cstheme="minorHAnsi"/>
        </w:rPr>
      </w:pPr>
      <w:r w:rsidRPr="00EE7A45">
        <w:rPr>
          <w:rFonts w:eastAsiaTheme="minorEastAsia" w:cstheme="minorHAnsi"/>
        </w:rPr>
        <w:t xml:space="preserve">Travaux de pose d’alarme et de réparation de la toiture du hangar des ST Sud : </w:t>
      </w:r>
      <w:r w:rsidRPr="00EE7A45">
        <w:rPr>
          <w:rFonts w:eastAsiaTheme="minorEastAsia" w:cstheme="minorHAnsi"/>
        </w:rPr>
        <w:tab/>
        <w:t>28 508,17 €</w:t>
      </w:r>
    </w:p>
    <w:p w14:paraId="11DA4A4D" w14:textId="0AB304D7" w:rsidR="002F7CE9" w:rsidRPr="00EE7A45" w:rsidRDefault="002F7CE9" w:rsidP="00D33B17">
      <w:pPr>
        <w:tabs>
          <w:tab w:val="decimal" w:pos="8647"/>
        </w:tabs>
        <w:spacing w:before="120" w:after="0" w:line="240" w:lineRule="auto"/>
        <w:jc w:val="both"/>
        <w:rPr>
          <w:rFonts w:eastAsiaTheme="minorEastAsia" w:cstheme="minorHAnsi"/>
        </w:rPr>
      </w:pPr>
      <w:r w:rsidRPr="00EE7A45">
        <w:rPr>
          <w:rFonts w:eastAsiaTheme="minorEastAsia" w:cstheme="minorHAnsi"/>
        </w:rPr>
        <w:t>Avances versées aux titulaires des marchés</w:t>
      </w:r>
      <w:r w:rsidRPr="00EE7A45">
        <w:rPr>
          <w:rFonts w:eastAsiaTheme="minorEastAsia" w:cstheme="minorHAnsi"/>
        </w:rPr>
        <w:tab/>
        <w:t>307 469,70 €</w:t>
      </w:r>
    </w:p>
    <w:p w14:paraId="7189F338" w14:textId="77777777" w:rsidR="002F7CE9" w:rsidRPr="00EE7A45" w:rsidRDefault="002F7CE9" w:rsidP="002F7CE9">
      <w:pPr>
        <w:tabs>
          <w:tab w:val="decimal" w:pos="8647"/>
        </w:tabs>
        <w:spacing w:before="240" w:after="0" w:line="240" w:lineRule="auto"/>
        <w:jc w:val="both"/>
        <w:rPr>
          <w:rFonts w:eastAsiaTheme="minorEastAsia" w:cstheme="minorHAnsi"/>
          <w:b/>
          <w:bCs/>
        </w:rPr>
      </w:pPr>
      <w:r w:rsidRPr="00EE7A45">
        <w:rPr>
          <w:rFonts w:eastAsiaTheme="minorEastAsia" w:cstheme="minorHAnsi"/>
          <w:b/>
          <w:bCs/>
        </w:rPr>
        <w:t>Chapitre 16 : Emprunts et dettes assimilées</w:t>
      </w:r>
      <w:r w:rsidRPr="00EE7A45">
        <w:rPr>
          <w:rFonts w:eastAsiaTheme="minorEastAsia" w:cstheme="minorHAnsi"/>
        </w:rPr>
        <w:tab/>
      </w:r>
      <w:r w:rsidRPr="00EE7A45">
        <w:rPr>
          <w:rFonts w:eastAsiaTheme="minorEastAsia" w:cstheme="minorHAnsi"/>
          <w:b/>
          <w:bCs/>
        </w:rPr>
        <w:t>795 537,82 €</w:t>
      </w:r>
    </w:p>
    <w:p w14:paraId="5444A075" w14:textId="77777777" w:rsidR="002F7CE9" w:rsidRPr="00EE7A45" w:rsidRDefault="002F7CE9" w:rsidP="002F7CE9">
      <w:pPr>
        <w:tabs>
          <w:tab w:val="decimal" w:pos="8505"/>
        </w:tabs>
        <w:spacing w:after="0" w:line="240" w:lineRule="auto"/>
        <w:jc w:val="both"/>
        <w:rPr>
          <w:rFonts w:eastAsiaTheme="minorEastAsia" w:cstheme="minorHAnsi"/>
        </w:rPr>
      </w:pPr>
      <w:r w:rsidRPr="00EE7A45">
        <w:rPr>
          <w:rFonts w:eastAsiaTheme="minorEastAsia" w:cstheme="minorHAnsi"/>
        </w:rPr>
        <w:t>Ces dépenses correspondent au remboursement du capital de la dette.</w:t>
      </w:r>
    </w:p>
    <w:p w14:paraId="67CC7EBF" w14:textId="77777777" w:rsidR="002F7CE9" w:rsidRPr="00EE7A45" w:rsidRDefault="002F7CE9" w:rsidP="002F7CE9">
      <w:pPr>
        <w:tabs>
          <w:tab w:val="decimal" w:pos="8789"/>
        </w:tabs>
        <w:spacing w:before="240" w:after="0" w:line="240" w:lineRule="auto"/>
        <w:jc w:val="both"/>
        <w:rPr>
          <w:rFonts w:eastAsiaTheme="minorEastAsia" w:cstheme="minorHAnsi"/>
          <w:b/>
          <w:bCs/>
        </w:rPr>
      </w:pPr>
      <w:r w:rsidRPr="00EE7A45">
        <w:rPr>
          <w:rFonts w:eastAsiaTheme="minorEastAsia" w:cstheme="minorHAnsi"/>
          <w:b/>
          <w:bCs/>
        </w:rPr>
        <w:t>Chapitre 27 : Autres immobilisations financières</w:t>
      </w:r>
      <w:r w:rsidRPr="00EE7A45">
        <w:rPr>
          <w:rFonts w:eastAsiaTheme="minorEastAsia" w:cstheme="minorHAnsi"/>
        </w:rPr>
        <w:tab/>
      </w:r>
      <w:r w:rsidRPr="00EE7A45">
        <w:rPr>
          <w:rFonts w:eastAsiaTheme="minorEastAsia" w:cstheme="minorHAnsi"/>
          <w:b/>
          <w:bCs/>
        </w:rPr>
        <w:t>125 034,00 €</w:t>
      </w:r>
    </w:p>
    <w:p w14:paraId="2B2741DA" w14:textId="2EAA4E01" w:rsidR="002F7CE9" w:rsidRPr="00EE7A45" w:rsidRDefault="002F7CE9" w:rsidP="00D33B17">
      <w:pPr>
        <w:tabs>
          <w:tab w:val="decimal" w:pos="8647"/>
        </w:tabs>
        <w:spacing w:before="120" w:after="0" w:line="240" w:lineRule="auto"/>
        <w:jc w:val="both"/>
        <w:rPr>
          <w:rFonts w:eastAsiaTheme="minorEastAsia" w:cstheme="minorHAnsi"/>
        </w:rPr>
      </w:pPr>
      <w:r w:rsidRPr="00EE7A45">
        <w:rPr>
          <w:rFonts w:eastAsiaTheme="minorEastAsia" w:cstheme="minorHAnsi"/>
        </w:rPr>
        <w:t>Dépôt de garantie pour la location du local du</w:t>
      </w:r>
      <w:r w:rsidR="00D33B17" w:rsidRPr="00EE7A45">
        <w:rPr>
          <w:rFonts w:eastAsiaTheme="minorEastAsia" w:cstheme="minorHAnsi"/>
        </w:rPr>
        <w:t xml:space="preserve"> Service de démoustication</w:t>
      </w:r>
      <w:r w:rsidRPr="00EE7A45">
        <w:rPr>
          <w:rFonts w:eastAsiaTheme="minorEastAsia" w:cstheme="minorHAnsi"/>
        </w:rPr>
        <w:tab/>
        <w:t>1 500,00 €</w:t>
      </w:r>
    </w:p>
    <w:p w14:paraId="41F319A1" w14:textId="77777777" w:rsidR="00D33B17" w:rsidRPr="00EE7A45" w:rsidRDefault="002F7CE9" w:rsidP="00D33B17">
      <w:pPr>
        <w:tabs>
          <w:tab w:val="decimal" w:pos="4536"/>
          <w:tab w:val="decimal" w:pos="7938"/>
        </w:tabs>
        <w:spacing w:before="120" w:after="0" w:line="240" w:lineRule="auto"/>
        <w:jc w:val="both"/>
        <w:rPr>
          <w:rFonts w:eastAsiaTheme="minorEastAsia" w:cstheme="minorHAnsi"/>
        </w:rPr>
      </w:pPr>
      <w:r w:rsidRPr="00EE7A45">
        <w:rPr>
          <w:rFonts w:eastAsiaTheme="minorEastAsia" w:cstheme="minorHAnsi"/>
        </w:rPr>
        <w:t>Avance consentie aux budgets annexes de l’extension de la Meule</w:t>
      </w:r>
    </w:p>
    <w:p w14:paraId="1F93BED5" w14:textId="3EDD1172" w:rsidR="002F7CE9" w:rsidRPr="00EE7A45" w:rsidRDefault="002F7CE9" w:rsidP="00D33B17">
      <w:pPr>
        <w:tabs>
          <w:tab w:val="decimal" w:pos="8647"/>
        </w:tabs>
        <w:spacing w:after="0" w:line="240" w:lineRule="auto"/>
        <w:jc w:val="both"/>
        <w:rPr>
          <w:rFonts w:eastAsiaTheme="minorEastAsia" w:cstheme="minorHAnsi"/>
        </w:rPr>
      </w:pPr>
      <w:r w:rsidRPr="00EE7A45">
        <w:rPr>
          <w:rFonts w:eastAsiaTheme="minorEastAsia" w:cstheme="minorHAnsi"/>
        </w:rPr>
        <w:t>et du Guadet</w:t>
      </w:r>
      <w:r w:rsidRPr="00EE7A45">
        <w:rPr>
          <w:rFonts w:eastAsiaTheme="minorEastAsia" w:cstheme="minorHAnsi"/>
        </w:rPr>
        <w:tab/>
        <w:t>23 534,00 €</w:t>
      </w:r>
    </w:p>
    <w:p w14:paraId="2AFF9A52" w14:textId="74BFEF23" w:rsidR="002F7CE9" w:rsidRPr="00EE7A45" w:rsidRDefault="006060B9" w:rsidP="00D33B17">
      <w:pPr>
        <w:tabs>
          <w:tab w:val="decimal" w:pos="4536"/>
          <w:tab w:val="decimal" w:pos="8789"/>
        </w:tabs>
        <w:spacing w:before="120" w:after="0" w:line="240" w:lineRule="auto"/>
        <w:jc w:val="both"/>
        <w:rPr>
          <w:rFonts w:eastAsiaTheme="minorEastAsia" w:cstheme="minorHAnsi"/>
        </w:rPr>
      </w:pPr>
      <w:r w:rsidRPr="00EE7A45">
        <w:rPr>
          <w:rFonts w:eastAsiaTheme="minorEastAsia" w:cstheme="minorHAnsi"/>
        </w:rPr>
        <w:t>Dispositif d’aides aux entreprises</w:t>
      </w:r>
      <w:r w:rsidRPr="00EE7A45">
        <w:rPr>
          <w:rFonts w:eastAsiaTheme="minorEastAsia" w:cstheme="minorHAnsi"/>
        </w:rPr>
        <w:tab/>
      </w:r>
      <w:r w:rsidR="002F7CE9" w:rsidRPr="00EE7A45">
        <w:rPr>
          <w:rFonts w:eastAsiaTheme="minorEastAsia" w:cstheme="minorHAnsi"/>
        </w:rPr>
        <w:t xml:space="preserve"> </w:t>
      </w:r>
      <w:r w:rsidR="002F7CE9" w:rsidRPr="00EE7A45">
        <w:rPr>
          <w:rFonts w:eastAsiaTheme="minorEastAsia" w:cstheme="minorHAnsi"/>
        </w:rPr>
        <w:tab/>
        <w:t>100 000,00 €</w:t>
      </w:r>
    </w:p>
    <w:p w14:paraId="32CA9CCB" w14:textId="20F9F158" w:rsidR="006341D4" w:rsidRDefault="006341D4">
      <w:r>
        <w:br w:type="page"/>
      </w:r>
    </w:p>
    <w:p w14:paraId="2FAC75FE" w14:textId="77777777" w:rsidR="002F7CE9" w:rsidRDefault="002F7CE9" w:rsidP="00BA4520">
      <w:pPr>
        <w:jc w:val="both"/>
      </w:pPr>
    </w:p>
    <w:p w14:paraId="2724D993" w14:textId="419C8913" w:rsidR="00D33B17" w:rsidRPr="006341D4" w:rsidRDefault="00FD51E4" w:rsidP="006341D4">
      <w:pPr>
        <w:pStyle w:val="Titre1"/>
        <w:rPr>
          <w:rFonts w:ascii="Khmer UI" w:hAnsi="Khmer UI" w:cs="Khmer UI"/>
          <w:b/>
          <w:bCs/>
          <w:color w:val="auto"/>
          <w:sz w:val="28"/>
          <w:szCs w:val="28"/>
        </w:rPr>
      </w:pPr>
      <w:bookmarkStart w:id="2" w:name="_Toc61971956"/>
      <w:r w:rsidRPr="006341D4">
        <w:rPr>
          <w:rFonts w:ascii="Khmer UI" w:hAnsi="Khmer UI" w:cs="Khmer UI"/>
          <w:b/>
          <w:bCs/>
          <w:color w:val="auto"/>
          <w:sz w:val="28"/>
          <w:szCs w:val="28"/>
        </w:rPr>
        <w:t>STRUCTURE ET GESTION DE LA DETTE CONTRACTEE</w:t>
      </w:r>
      <w:bookmarkEnd w:id="2"/>
    </w:p>
    <w:p w14:paraId="3DE1759E" w14:textId="4F13B5E5" w:rsidR="002F7CE9" w:rsidRDefault="00523CDC" w:rsidP="00A855A2">
      <w:pPr>
        <w:spacing w:before="240"/>
        <w:jc w:val="both"/>
      </w:pPr>
      <w:r w:rsidRPr="00523CDC">
        <w:t>En 2021</w:t>
      </w:r>
      <w:r w:rsidR="00FF113E">
        <w:t xml:space="preserve"> et à volume constant</w:t>
      </w:r>
      <w:r w:rsidRPr="00523CDC">
        <w:t>, l’encours de la dette ressort à 5 819 235 € (soit une baisse de 12,69 %) et l’annuité de la dette (capital +intérêt) diminuerait de 251 656 € (soit une baisse de 22,42 %).</w:t>
      </w:r>
    </w:p>
    <w:p w14:paraId="396A9643" w14:textId="568B2E24" w:rsidR="0048661E" w:rsidRDefault="002F7CE9" w:rsidP="00BA4520">
      <w:pPr>
        <w:jc w:val="both"/>
      </w:pPr>
      <w:r w:rsidRPr="00011B04">
        <w:rPr>
          <w:noProof/>
        </w:rPr>
        <w:drawing>
          <wp:inline distT="0" distB="0" distL="0" distR="0" wp14:anchorId="0B0A8B86" wp14:editId="4A45CC11">
            <wp:extent cx="5760720" cy="9728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972820"/>
                    </a:xfrm>
                    <a:prstGeom prst="rect">
                      <a:avLst/>
                    </a:prstGeom>
                    <a:noFill/>
                    <a:ln>
                      <a:noFill/>
                    </a:ln>
                  </pic:spPr>
                </pic:pic>
              </a:graphicData>
            </a:graphic>
          </wp:inline>
        </w:drawing>
      </w:r>
    </w:p>
    <w:p w14:paraId="3475F31F" w14:textId="2BFCB026" w:rsidR="00A76466" w:rsidRDefault="00A76466" w:rsidP="00BA4520">
      <w:pPr>
        <w:jc w:val="both"/>
      </w:pPr>
    </w:p>
    <w:tbl>
      <w:tblPr>
        <w:tblStyle w:val="Grilledutableau"/>
        <w:tblW w:w="0" w:type="auto"/>
        <w:tblLook w:val="04A0" w:firstRow="1" w:lastRow="0" w:firstColumn="1" w:lastColumn="0" w:noHBand="0" w:noVBand="1"/>
      </w:tblPr>
      <w:tblGrid>
        <w:gridCol w:w="4233"/>
        <w:gridCol w:w="4829"/>
      </w:tblGrid>
      <w:tr w:rsidR="00A76466" w14:paraId="008458A7" w14:textId="77777777" w:rsidTr="00A76466">
        <w:tc>
          <w:tcPr>
            <w:tcW w:w="4531" w:type="dxa"/>
          </w:tcPr>
          <w:p w14:paraId="01724109" w14:textId="6F717AF5" w:rsidR="00A76466" w:rsidRDefault="00A76466" w:rsidP="00BA4520">
            <w:pPr>
              <w:jc w:val="both"/>
            </w:pPr>
            <w:r>
              <w:rPr>
                <w:noProof/>
              </w:rPr>
              <w:drawing>
                <wp:inline distT="0" distB="0" distL="0" distR="0" wp14:anchorId="6F870289" wp14:editId="29793396">
                  <wp:extent cx="2567940" cy="2293620"/>
                  <wp:effectExtent l="0" t="0" r="3810" b="11430"/>
                  <wp:docPr id="4" name="Graphique 4">
                    <a:extLst xmlns:a="http://schemas.openxmlformats.org/drawingml/2006/main">
                      <a:ext uri="{FF2B5EF4-FFF2-40B4-BE49-F238E27FC236}">
                        <a16:creationId xmlns:a16="http://schemas.microsoft.com/office/drawing/2014/main" id="{2B800933-4167-49E2-A4FA-D9423E082D0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531" w:type="dxa"/>
          </w:tcPr>
          <w:p w14:paraId="1735A840" w14:textId="15A3F592" w:rsidR="00A76466" w:rsidRDefault="00A76466" w:rsidP="00BA4520">
            <w:pPr>
              <w:jc w:val="both"/>
            </w:pPr>
            <w:r>
              <w:rPr>
                <w:noProof/>
              </w:rPr>
              <w:drawing>
                <wp:inline distT="0" distB="0" distL="0" distR="0" wp14:anchorId="4E10985D" wp14:editId="6DB1F5B5">
                  <wp:extent cx="2948940" cy="2308860"/>
                  <wp:effectExtent l="0" t="0" r="3810" b="15240"/>
                  <wp:docPr id="5" name="Graphique 5">
                    <a:extLst xmlns:a="http://schemas.openxmlformats.org/drawingml/2006/main">
                      <a:ext uri="{FF2B5EF4-FFF2-40B4-BE49-F238E27FC236}">
                        <a16:creationId xmlns:a16="http://schemas.microsoft.com/office/drawing/2014/main" id="{14A3F79C-0949-4134-8728-CB7BB9FF26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14:paraId="6975E800" w14:textId="16ABC6AD" w:rsidR="00A855A2" w:rsidRPr="00A855A2" w:rsidRDefault="00A855A2" w:rsidP="00A855A2">
      <w:pPr>
        <w:spacing w:before="240"/>
        <w:jc w:val="both"/>
        <w:rPr>
          <w:rFonts w:eastAsia="Times New Roman" w:cstheme="minorHAnsi"/>
        </w:rPr>
      </w:pPr>
      <w:r>
        <w:rPr>
          <w:rFonts w:eastAsia="Times New Roman" w:cstheme="minorHAnsi"/>
        </w:rPr>
        <w:t>A la faveur d’une action de maîtrise des dépenses et de l’endettement conduite ces dernières années, la</w:t>
      </w:r>
      <w:r w:rsidRPr="00A855A2">
        <w:rPr>
          <w:rFonts w:eastAsia="Times New Roman" w:cstheme="minorHAnsi"/>
        </w:rPr>
        <w:t xml:space="preserve"> situation financière de la Communauté de Communes est maîtrisée ce qui permet d’envisager une politique d’investissement et un recours à l’emprunt raisonnables.</w:t>
      </w:r>
    </w:p>
    <w:p w14:paraId="46430EAE" w14:textId="4C5F248E" w:rsidR="006341D4" w:rsidRDefault="006341D4">
      <w:pPr>
        <w:rPr>
          <w:b/>
          <w:bCs/>
          <w:i/>
          <w:iCs/>
          <w:sz w:val="32"/>
          <w:szCs w:val="32"/>
        </w:rPr>
      </w:pPr>
      <w:r>
        <w:rPr>
          <w:noProof/>
        </w:rPr>
        <w:drawing>
          <wp:inline distT="0" distB="0" distL="0" distR="0" wp14:anchorId="790A362C" wp14:editId="6B913160">
            <wp:extent cx="5760720" cy="2538095"/>
            <wp:effectExtent l="0" t="0" r="0" b="0"/>
            <wp:docPr id="7" name="Image 7"/>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538095"/>
                    </a:xfrm>
                    <a:prstGeom prst="rect">
                      <a:avLst/>
                    </a:prstGeom>
                    <a:noFill/>
                    <a:ln>
                      <a:noFill/>
                    </a:ln>
                  </pic:spPr>
                </pic:pic>
              </a:graphicData>
            </a:graphic>
          </wp:inline>
        </w:drawing>
      </w:r>
    </w:p>
    <w:p w14:paraId="1244504B" w14:textId="6F9F1DB1" w:rsidR="0023556D" w:rsidRDefault="0023556D">
      <w:pPr>
        <w:rPr>
          <w:b/>
          <w:bCs/>
          <w:i/>
          <w:iCs/>
          <w:sz w:val="32"/>
          <w:szCs w:val="32"/>
        </w:rPr>
      </w:pPr>
      <w:r>
        <w:rPr>
          <w:b/>
          <w:bCs/>
          <w:i/>
          <w:iCs/>
          <w:sz w:val="32"/>
          <w:szCs w:val="32"/>
        </w:rPr>
        <w:br w:type="page"/>
      </w:r>
    </w:p>
    <w:p w14:paraId="21123305" w14:textId="13D29FAC" w:rsidR="00604CEF" w:rsidRPr="006341D4" w:rsidRDefault="00604CEF" w:rsidP="006341D4">
      <w:pPr>
        <w:pStyle w:val="Titre1"/>
        <w:rPr>
          <w:rFonts w:ascii="Khmer UI" w:hAnsi="Khmer UI" w:cs="Khmer UI"/>
          <w:b/>
          <w:bCs/>
          <w:color w:val="auto"/>
          <w:sz w:val="28"/>
          <w:szCs w:val="28"/>
        </w:rPr>
      </w:pPr>
      <w:r w:rsidRPr="006341D4">
        <w:rPr>
          <w:rFonts w:ascii="Khmer UI" w:hAnsi="Khmer UI" w:cs="Khmer UI"/>
          <w:b/>
          <w:bCs/>
          <w:color w:val="auto"/>
          <w:sz w:val="28"/>
          <w:szCs w:val="28"/>
        </w:rPr>
        <w:lastRenderedPageBreak/>
        <w:t>BUDGETS ANNEXES</w:t>
      </w:r>
    </w:p>
    <w:p w14:paraId="25059C63" w14:textId="25A687CB" w:rsidR="00A76466" w:rsidRDefault="00A76466" w:rsidP="00FF113E">
      <w:pPr>
        <w:pStyle w:val="Titre2"/>
        <w:spacing w:before="240" w:after="120"/>
        <w:ind w:left="578" w:hanging="578"/>
        <w:rPr>
          <w:rFonts w:asciiTheme="minorHAnsi" w:hAnsiTheme="minorHAnsi" w:cstheme="minorHAnsi"/>
          <w:color w:val="auto"/>
        </w:rPr>
      </w:pPr>
      <w:r w:rsidRPr="00FF113E">
        <w:rPr>
          <w:rFonts w:asciiTheme="minorHAnsi" w:hAnsiTheme="minorHAnsi" w:cstheme="minorHAnsi"/>
          <w:color w:val="auto"/>
        </w:rPr>
        <w:t>Le budget annexe « GEMAPI »</w:t>
      </w:r>
    </w:p>
    <w:p w14:paraId="00B43ED5" w14:textId="26FA53AD" w:rsidR="00FF113E" w:rsidRPr="00FF113E" w:rsidRDefault="00FF113E" w:rsidP="00FF113E">
      <w:r>
        <w:t>Le budget annexe « Gestion des Milieux Aquatiques et Prévention des Inondations » (GEMAPI) a été créé en 2018 afin de suivre l’utilisation de la taxe GEMAPI instaurée la même année sur la base d’un produit fiscal attend</w:t>
      </w:r>
      <w:r w:rsidR="008253B6">
        <w:t>u, déterminé sur la base de 15 €/habitant et ventilé sur les taxes foncières.</w:t>
      </w:r>
    </w:p>
    <w:tbl>
      <w:tblPr>
        <w:tblW w:w="7140" w:type="dxa"/>
        <w:jc w:val="center"/>
        <w:tblCellMar>
          <w:left w:w="70" w:type="dxa"/>
          <w:right w:w="70" w:type="dxa"/>
        </w:tblCellMar>
        <w:tblLook w:val="04A0" w:firstRow="1" w:lastRow="0" w:firstColumn="1" w:lastColumn="0" w:noHBand="0" w:noVBand="1"/>
      </w:tblPr>
      <w:tblGrid>
        <w:gridCol w:w="1240"/>
        <w:gridCol w:w="3680"/>
        <w:gridCol w:w="2220"/>
      </w:tblGrid>
      <w:tr w:rsidR="00A76466" w:rsidRPr="00A76466" w14:paraId="2694F272"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000000" w:fill="B4C6E7"/>
            <w:hideMark/>
          </w:tcPr>
          <w:p w14:paraId="72F62362" w14:textId="77777777" w:rsidR="00A76466" w:rsidRPr="00EE7A45" w:rsidRDefault="00A76466" w:rsidP="00A76466">
            <w:pPr>
              <w:spacing w:after="0" w:line="240" w:lineRule="auto"/>
              <w:rPr>
                <w:rFonts w:eastAsia="Times New Roman" w:cstheme="minorHAnsi"/>
                <w:b/>
                <w:bCs/>
                <w:i/>
                <w:iCs/>
                <w:color w:val="000000"/>
                <w:lang w:eastAsia="fr-FR"/>
              </w:rPr>
            </w:pPr>
            <w:r w:rsidRPr="00EE7A45">
              <w:rPr>
                <w:rFonts w:eastAsia="Times New Roman" w:cstheme="minorHAnsi"/>
                <w:b/>
                <w:bCs/>
                <w:i/>
                <w:iCs/>
                <w:color w:val="000000"/>
                <w:lang w:eastAsia="fr-FR"/>
              </w:rPr>
              <w:t>Fonctionnement - Dépense</w:t>
            </w:r>
          </w:p>
        </w:tc>
        <w:tc>
          <w:tcPr>
            <w:tcW w:w="2220" w:type="dxa"/>
            <w:tcBorders>
              <w:top w:val="single" w:sz="4" w:space="0" w:color="auto"/>
              <w:left w:val="nil"/>
              <w:bottom w:val="single" w:sz="4" w:space="0" w:color="auto"/>
              <w:right w:val="single" w:sz="4" w:space="0" w:color="auto"/>
            </w:tcBorders>
            <w:shd w:val="clear" w:color="000000" w:fill="B4C6E7"/>
            <w:hideMark/>
          </w:tcPr>
          <w:p w14:paraId="67B85B56" w14:textId="77777777" w:rsidR="00A76466" w:rsidRPr="00EE7A45" w:rsidRDefault="00A76466" w:rsidP="00A76466">
            <w:pPr>
              <w:spacing w:after="0" w:line="240" w:lineRule="auto"/>
              <w:jc w:val="right"/>
              <w:rPr>
                <w:rFonts w:eastAsia="Times New Roman" w:cstheme="minorHAnsi"/>
                <w:b/>
                <w:bCs/>
                <w:i/>
                <w:iCs/>
                <w:color w:val="000000"/>
                <w:lang w:eastAsia="fr-FR"/>
              </w:rPr>
            </w:pPr>
            <w:r w:rsidRPr="00EE7A45">
              <w:rPr>
                <w:rFonts w:eastAsia="Times New Roman" w:cstheme="minorHAnsi"/>
                <w:b/>
                <w:bCs/>
                <w:i/>
                <w:iCs/>
                <w:color w:val="000000"/>
                <w:lang w:eastAsia="fr-FR"/>
              </w:rPr>
              <w:t xml:space="preserve">818 910,25 €                </w:t>
            </w:r>
          </w:p>
        </w:tc>
      </w:tr>
      <w:tr w:rsidR="00A76466" w:rsidRPr="00A76466" w14:paraId="207507D4"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25D116"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011 - Charges à caractère général</w:t>
            </w:r>
          </w:p>
        </w:tc>
        <w:tc>
          <w:tcPr>
            <w:tcW w:w="2220" w:type="dxa"/>
            <w:tcBorders>
              <w:top w:val="nil"/>
              <w:left w:val="nil"/>
              <w:bottom w:val="single" w:sz="4" w:space="0" w:color="auto"/>
              <w:right w:val="single" w:sz="4" w:space="0" w:color="auto"/>
            </w:tcBorders>
            <w:shd w:val="clear" w:color="auto" w:fill="auto"/>
            <w:hideMark/>
          </w:tcPr>
          <w:p w14:paraId="34D31262"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313 514,13 €                        </w:t>
            </w:r>
          </w:p>
        </w:tc>
      </w:tr>
      <w:tr w:rsidR="00A76466" w:rsidRPr="00A76466" w14:paraId="42955561"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BA1BC5"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012 - Charges de personnel et frais assimilés</w:t>
            </w:r>
          </w:p>
        </w:tc>
        <w:tc>
          <w:tcPr>
            <w:tcW w:w="2220" w:type="dxa"/>
            <w:tcBorders>
              <w:top w:val="nil"/>
              <w:left w:val="nil"/>
              <w:bottom w:val="single" w:sz="4" w:space="0" w:color="auto"/>
              <w:right w:val="single" w:sz="4" w:space="0" w:color="auto"/>
            </w:tcBorders>
            <w:shd w:val="clear" w:color="auto" w:fill="auto"/>
            <w:hideMark/>
          </w:tcPr>
          <w:p w14:paraId="32C8208B"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148 844,45 €                        </w:t>
            </w:r>
          </w:p>
        </w:tc>
      </w:tr>
      <w:tr w:rsidR="00A76466" w:rsidRPr="00A76466" w14:paraId="1732666B"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F93EC1"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014 - Atténuations de produits</w:t>
            </w:r>
          </w:p>
        </w:tc>
        <w:tc>
          <w:tcPr>
            <w:tcW w:w="2220" w:type="dxa"/>
            <w:tcBorders>
              <w:top w:val="nil"/>
              <w:left w:val="nil"/>
              <w:bottom w:val="single" w:sz="4" w:space="0" w:color="auto"/>
              <w:right w:val="single" w:sz="4" w:space="0" w:color="auto"/>
            </w:tcBorders>
            <w:shd w:val="clear" w:color="auto" w:fill="auto"/>
            <w:hideMark/>
          </w:tcPr>
          <w:p w14:paraId="75E96E1E"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7 761,00 €                            </w:t>
            </w:r>
          </w:p>
        </w:tc>
      </w:tr>
      <w:tr w:rsidR="00A76466" w:rsidRPr="00A76466" w14:paraId="59ECD741"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8FD18B"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042 - Opérations d'ordre de transfert entre sections</w:t>
            </w:r>
          </w:p>
        </w:tc>
        <w:tc>
          <w:tcPr>
            <w:tcW w:w="2220" w:type="dxa"/>
            <w:tcBorders>
              <w:top w:val="nil"/>
              <w:left w:val="nil"/>
              <w:bottom w:val="single" w:sz="4" w:space="0" w:color="auto"/>
              <w:right w:val="single" w:sz="4" w:space="0" w:color="auto"/>
            </w:tcBorders>
            <w:shd w:val="clear" w:color="auto" w:fill="auto"/>
            <w:hideMark/>
          </w:tcPr>
          <w:p w14:paraId="3F667D97"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5 994,00 €                            </w:t>
            </w:r>
          </w:p>
        </w:tc>
      </w:tr>
      <w:tr w:rsidR="00A76466" w:rsidRPr="00A76466" w14:paraId="09EABC7F"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E0ACACD"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65 - Autres charges de gestion courante</w:t>
            </w:r>
          </w:p>
        </w:tc>
        <w:tc>
          <w:tcPr>
            <w:tcW w:w="2220" w:type="dxa"/>
            <w:tcBorders>
              <w:top w:val="nil"/>
              <w:left w:val="nil"/>
              <w:bottom w:val="single" w:sz="4" w:space="0" w:color="auto"/>
              <w:right w:val="single" w:sz="4" w:space="0" w:color="auto"/>
            </w:tcBorders>
            <w:shd w:val="clear" w:color="auto" w:fill="auto"/>
            <w:hideMark/>
          </w:tcPr>
          <w:p w14:paraId="2F1313C8"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342 796,67 €                        </w:t>
            </w:r>
          </w:p>
        </w:tc>
      </w:tr>
      <w:tr w:rsidR="00A76466" w:rsidRPr="00A76466" w14:paraId="44479B31"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000000" w:fill="B4C6E7"/>
            <w:hideMark/>
          </w:tcPr>
          <w:p w14:paraId="0D4E09A4" w14:textId="77777777" w:rsidR="00A76466" w:rsidRPr="00EE7A45" w:rsidRDefault="00A76466" w:rsidP="00A76466">
            <w:pPr>
              <w:spacing w:after="0" w:line="240" w:lineRule="auto"/>
              <w:rPr>
                <w:rFonts w:eastAsia="Times New Roman" w:cstheme="minorHAnsi"/>
                <w:b/>
                <w:bCs/>
                <w:i/>
                <w:iCs/>
                <w:color w:val="000000"/>
                <w:lang w:eastAsia="fr-FR"/>
              </w:rPr>
            </w:pPr>
            <w:r w:rsidRPr="00EE7A45">
              <w:rPr>
                <w:rFonts w:eastAsia="Times New Roman" w:cstheme="minorHAnsi"/>
                <w:b/>
                <w:bCs/>
                <w:i/>
                <w:iCs/>
                <w:color w:val="000000"/>
                <w:lang w:eastAsia="fr-FR"/>
              </w:rPr>
              <w:t>Fonctionnement - Recette</w:t>
            </w:r>
          </w:p>
        </w:tc>
        <w:tc>
          <w:tcPr>
            <w:tcW w:w="2220" w:type="dxa"/>
            <w:tcBorders>
              <w:top w:val="nil"/>
              <w:left w:val="nil"/>
              <w:bottom w:val="single" w:sz="4" w:space="0" w:color="auto"/>
              <w:right w:val="single" w:sz="4" w:space="0" w:color="auto"/>
            </w:tcBorders>
            <w:shd w:val="clear" w:color="000000" w:fill="B4C6E7"/>
            <w:hideMark/>
          </w:tcPr>
          <w:p w14:paraId="05D48038" w14:textId="77777777" w:rsidR="00A76466" w:rsidRPr="00EE7A45" w:rsidRDefault="00A76466" w:rsidP="00A76466">
            <w:pPr>
              <w:spacing w:after="0" w:line="240" w:lineRule="auto"/>
              <w:jc w:val="right"/>
              <w:rPr>
                <w:rFonts w:eastAsia="Times New Roman" w:cstheme="minorHAnsi"/>
                <w:b/>
                <w:bCs/>
                <w:i/>
                <w:iCs/>
                <w:color w:val="000000"/>
                <w:lang w:eastAsia="fr-FR"/>
              </w:rPr>
            </w:pPr>
            <w:r w:rsidRPr="00EE7A45">
              <w:rPr>
                <w:rFonts w:eastAsia="Times New Roman" w:cstheme="minorHAnsi"/>
                <w:b/>
                <w:bCs/>
                <w:i/>
                <w:iCs/>
                <w:color w:val="000000"/>
                <w:lang w:eastAsia="fr-FR"/>
              </w:rPr>
              <w:t xml:space="preserve">1 051 303,33 €             </w:t>
            </w:r>
          </w:p>
        </w:tc>
      </w:tr>
      <w:tr w:rsidR="00A76466" w:rsidRPr="00A76466" w14:paraId="28AF5BD4"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197F25"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002 - Résultat de fonctionnement reporté (excédent ou déficit)</w:t>
            </w:r>
          </w:p>
        </w:tc>
        <w:tc>
          <w:tcPr>
            <w:tcW w:w="2220" w:type="dxa"/>
            <w:tcBorders>
              <w:top w:val="nil"/>
              <w:left w:val="nil"/>
              <w:bottom w:val="single" w:sz="4" w:space="0" w:color="auto"/>
              <w:right w:val="single" w:sz="4" w:space="0" w:color="auto"/>
            </w:tcBorders>
            <w:shd w:val="clear" w:color="auto" w:fill="auto"/>
            <w:hideMark/>
          </w:tcPr>
          <w:p w14:paraId="0F2F67D7"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364 749,33 €                        </w:t>
            </w:r>
          </w:p>
        </w:tc>
      </w:tr>
      <w:tr w:rsidR="00A76466" w:rsidRPr="00A76466" w14:paraId="5CEB42B4"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A629ABF"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73 - Impôts et taxes</w:t>
            </w:r>
          </w:p>
        </w:tc>
        <w:tc>
          <w:tcPr>
            <w:tcW w:w="2220" w:type="dxa"/>
            <w:tcBorders>
              <w:top w:val="nil"/>
              <w:left w:val="nil"/>
              <w:bottom w:val="single" w:sz="4" w:space="0" w:color="auto"/>
              <w:right w:val="single" w:sz="4" w:space="0" w:color="auto"/>
            </w:tcBorders>
            <w:shd w:val="clear" w:color="auto" w:fill="auto"/>
            <w:hideMark/>
          </w:tcPr>
          <w:p w14:paraId="63D77D35"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686 554,00 €                        </w:t>
            </w:r>
          </w:p>
        </w:tc>
      </w:tr>
      <w:tr w:rsidR="00A76466" w:rsidRPr="00A76466" w14:paraId="7A61179B"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6AD52C"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74 - Dotations, subventions et participations</w:t>
            </w:r>
          </w:p>
        </w:tc>
        <w:tc>
          <w:tcPr>
            <w:tcW w:w="2220" w:type="dxa"/>
            <w:tcBorders>
              <w:top w:val="nil"/>
              <w:left w:val="nil"/>
              <w:bottom w:val="single" w:sz="4" w:space="0" w:color="auto"/>
              <w:right w:val="single" w:sz="4" w:space="0" w:color="auto"/>
            </w:tcBorders>
            <w:shd w:val="clear" w:color="auto" w:fill="auto"/>
            <w:hideMark/>
          </w:tcPr>
          <w:p w14:paraId="4580D466"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0,00 €                                   </w:t>
            </w:r>
          </w:p>
        </w:tc>
      </w:tr>
      <w:tr w:rsidR="00A76466" w:rsidRPr="00A76466" w14:paraId="4A6ABC86"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D38B3E" w14:textId="77777777" w:rsidR="00A76466" w:rsidRPr="00EE7A45" w:rsidRDefault="00A76466" w:rsidP="00A76466">
            <w:pPr>
              <w:spacing w:after="0" w:line="240" w:lineRule="auto"/>
              <w:rPr>
                <w:rFonts w:eastAsia="Times New Roman" w:cstheme="minorHAnsi"/>
                <w:b/>
                <w:bCs/>
                <w:color w:val="000000"/>
                <w:lang w:eastAsia="fr-FR"/>
              </w:rPr>
            </w:pPr>
            <w:r w:rsidRPr="00EE7A45">
              <w:rPr>
                <w:rFonts w:eastAsia="Times New Roman" w:cstheme="minorHAnsi"/>
                <w:b/>
                <w:bCs/>
                <w:color w:val="000000"/>
                <w:lang w:eastAsia="fr-FR"/>
              </w:rPr>
              <w:t>RESULTAT</w:t>
            </w:r>
          </w:p>
        </w:tc>
        <w:tc>
          <w:tcPr>
            <w:tcW w:w="2220" w:type="dxa"/>
            <w:tcBorders>
              <w:top w:val="nil"/>
              <w:left w:val="nil"/>
              <w:bottom w:val="single" w:sz="4" w:space="0" w:color="auto"/>
              <w:right w:val="single" w:sz="4" w:space="0" w:color="auto"/>
            </w:tcBorders>
            <w:shd w:val="clear" w:color="auto" w:fill="auto"/>
            <w:hideMark/>
          </w:tcPr>
          <w:p w14:paraId="4391C621" w14:textId="77777777" w:rsidR="00A76466" w:rsidRPr="00EE7A45" w:rsidRDefault="00A76466" w:rsidP="00A76466">
            <w:pPr>
              <w:spacing w:after="0" w:line="240" w:lineRule="auto"/>
              <w:jc w:val="right"/>
              <w:rPr>
                <w:rFonts w:eastAsia="Times New Roman" w:cstheme="minorHAnsi"/>
                <w:b/>
                <w:bCs/>
                <w:color w:val="000000"/>
                <w:lang w:eastAsia="fr-FR"/>
              </w:rPr>
            </w:pPr>
            <w:r w:rsidRPr="00EE7A45">
              <w:rPr>
                <w:rFonts w:eastAsia="Times New Roman" w:cstheme="minorHAnsi"/>
                <w:b/>
                <w:bCs/>
                <w:color w:val="000000"/>
                <w:lang w:eastAsia="fr-FR"/>
              </w:rPr>
              <w:t xml:space="preserve">232 393,08 €                        </w:t>
            </w:r>
          </w:p>
        </w:tc>
      </w:tr>
      <w:tr w:rsidR="00A76466" w:rsidRPr="00A76466" w14:paraId="455B79EE" w14:textId="77777777" w:rsidTr="00EE7A45">
        <w:trPr>
          <w:trHeight w:val="288"/>
          <w:jc w:val="center"/>
        </w:trPr>
        <w:tc>
          <w:tcPr>
            <w:tcW w:w="1240" w:type="dxa"/>
            <w:tcBorders>
              <w:top w:val="nil"/>
              <w:left w:val="nil"/>
              <w:bottom w:val="nil"/>
              <w:right w:val="nil"/>
            </w:tcBorders>
            <w:shd w:val="clear" w:color="auto" w:fill="auto"/>
            <w:hideMark/>
          </w:tcPr>
          <w:p w14:paraId="7BCF4707" w14:textId="77777777" w:rsidR="00A76466" w:rsidRPr="00EE7A45" w:rsidRDefault="00A76466" w:rsidP="00A76466">
            <w:pPr>
              <w:spacing w:after="0" w:line="240" w:lineRule="auto"/>
              <w:jc w:val="right"/>
              <w:rPr>
                <w:rFonts w:eastAsia="Times New Roman" w:cstheme="minorHAnsi"/>
                <w:b/>
                <w:bCs/>
                <w:color w:val="000000"/>
                <w:lang w:eastAsia="fr-FR"/>
              </w:rPr>
            </w:pPr>
          </w:p>
        </w:tc>
        <w:tc>
          <w:tcPr>
            <w:tcW w:w="3680" w:type="dxa"/>
            <w:tcBorders>
              <w:top w:val="nil"/>
              <w:left w:val="nil"/>
              <w:bottom w:val="nil"/>
              <w:right w:val="nil"/>
            </w:tcBorders>
            <w:shd w:val="clear" w:color="auto" w:fill="auto"/>
            <w:hideMark/>
          </w:tcPr>
          <w:p w14:paraId="59E4DC64" w14:textId="77777777" w:rsidR="00A76466" w:rsidRPr="00EE7A45" w:rsidRDefault="00A76466" w:rsidP="00A76466">
            <w:pPr>
              <w:spacing w:after="0" w:line="240" w:lineRule="auto"/>
              <w:rPr>
                <w:rFonts w:eastAsia="Times New Roman" w:cstheme="minorHAnsi"/>
                <w:lang w:eastAsia="fr-FR"/>
              </w:rPr>
            </w:pPr>
          </w:p>
        </w:tc>
        <w:tc>
          <w:tcPr>
            <w:tcW w:w="2220" w:type="dxa"/>
            <w:tcBorders>
              <w:top w:val="nil"/>
              <w:left w:val="nil"/>
              <w:bottom w:val="nil"/>
              <w:right w:val="nil"/>
            </w:tcBorders>
            <w:shd w:val="clear" w:color="auto" w:fill="auto"/>
            <w:hideMark/>
          </w:tcPr>
          <w:p w14:paraId="3BE7C41E" w14:textId="77777777" w:rsidR="00A76466" w:rsidRPr="00EE7A45" w:rsidRDefault="00A76466" w:rsidP="00A76466">
            <w:pPr>
              <w:spacing w:after="0" w:line="240" w:lineRule="auto"/>
              <w:rPr>
                <w:rFonts w:eastAsia="Times New Roman" w:cstheme="minorHAnsi"/>
                <w:lang w:eastAsia="fr-FR"/>
              </w:rPr>
            </w:pPr>
          </w:p>
        </w:tc>
      </w:tr>
      <w:tr w:rsidR="00A76466" w:rsidRPr="00A76466" w14:paraId="56DF0065"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000000" w:fill="B4C6E7"/>
            <w:hideMark/>
          </w:tcPr>
          <w:p w14:paraId="616180CB" w14:textId="77777777" w:rsidR="00A76466" w:rsidRPr="00EE7A45" w:rsidRDefault="00A76466" w:rsidP="00A76466">
            <w:pPr>
              <w:spacing w:after="0" w:line="240" w:lineRule="auto"/>
              <w:rPr>
                <w:rFonts w:eastAsia="Times New Roman" w:cstheme="minorHAnsi"/>
                <w:b/>
                <w:bCs/>
                <w:i/>
                <w:iCs/>
                <w:color w:val="000000"/>
                <w:lang w:eastAsia="fr-FR"/>
              </w:rPr>
            </w:pPr>
            <w:r w:rsidRPr="00EE7A45">
              <w:rPr>
                <w:rFonts w:eastAsia="Times New Roman" w:cstheme="minorHAnsi"/>
                <w:b/>
                <w:bCs/>
                <w:i/>
                <w:iCs/>
                <w:color w:val="000000"/>
                <w:lang w:eastAsia="fr-FR"/>
              </w:rPr>
              <w:t>Investissement - Dépense</w:t>
            </w:r>
          </w:p>
        </w:tc>
        <w:tc>
          <w:tcPr>
            <w:tcW w:w="2220" w:type="dxa"/>
            <w:tcBorders>
              <w:top w:val="single" w:sz="4" w:space="0" w:color="auto"/>
              <w:left w:val="nil"/>
              <w:bottom w:val="single" w:sz="4" w:space="0" w:color="auto"/>
              <w:right w:val="single" w:sz="4" w:space="0" w:color="auto"/>
            </w:tcBorders>
            <w:shd w:val="clear" w:color="000000" w:fill="B4C6E7"/>
            <w:hideMark/>
          </w:tcPr>
          <w:p w14:paraId="7496C3B6" w14:textId="77777777" w:rsidR="00A76466" w:rsidRPr="00EE7A45" w:rsidRDefault="00A76466" w:rsidP="00A76466">
            <w:pPr>
              <w:spacing w:after="0" w:line="240" w:lineRule="auto"/>
              <w:jc w:val="right"/>
              <w:rPr>
                <w:rFonts w:eastAsia="Times New Roman" w:cstheme="minorHAnsi"/>
                <w:b/>
                <w:bCs/>
                <w:i/>
                <w:iCs/>
                <w:color w:val="000000"/>
                <w:lang w:eastAsia="fr-FR"/>
              </w:rPr>
            </w:pPr>
            <w:r w:rsidRPr="00EE7A45">
              <w:rPr>
                <w:rFonts w:eastAsia="Times New Roman" w:cstheme="minorHAnsi"/>
                <w:b/>
                <w:bCs/>
                <w:i/>
                <w:iCs/>
                <w:color w:val="000000"/>
                <w:lang w:eastAsia="fr-FR"/>
              </w:rPr>
              <w:t xml:space="preserve">1 506 118,29 €             </w:t>
            </w:r>
          </w:p>
        </w:tc>
      </w:tr>
      <w:tr w:rsidR="00A76466" w:rsidRPr="00A76466" w14:paraId="4F3C59D3"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1F1675"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001 - Solde d'exécution de la section d'investissement reporté</w:t>
            </w:r>
          </w:p>
        </w:tc>
        <w:tc>
          <w:tcPr>
            <w:tcW w:w="2220" w:type="dxa"/>
            <w:tcBorders>
              <w:top w:val="nil"/>
              <w:left w:val="nil"/>
              <w:bottom w:val="single" w:sz="4" w:space="0" w:color="auto"/>
              <w:right w:val="single" w:sz="4" w:space="0" w:color="auto"/>
            </w:tcBorders>
            <w:shd w:val="clear" w:color="auto" w:fill="auto"/>
            <w:hideMark/>
          </w:tcPr>
          <w:p w14:paraId="77AD5254"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160 290,69 €                        </w:t>
            </w:r>
          </w:p>
        </w:tc>
      </w:tr>
      <w:tr w:rsidR="00A76466" w:rsidRPr="00A76466" w14:paraId="246C766F"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4ED07D" w14:textId="28CA5C5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020 - Dépenses imprévues (investissement)</w:t>
            </w:r>
          </w:p>
        </w:tc>
        <w:tc>
          <w:tcPr>
            <w:tcW w:w="2220" w:type="dxa"/>
            <w:tcBorders>
              <w:top w:val="nil"/>
              <w:left w:val="nil"/>
              <w:bottom w:val="single" w:sz="4" w:space="0" w:color="auto"/>
              <w:right w:val="single" w:sz="4" w:space="0" w:color="auto"/>
            </w:tcBorders>
            <w:shd w:val="clear" w:color="auto" w:fill="auto"/>
            <w:hideMark/>
          </w:tcPr>
          <w:p w14:paraId="3FA12746"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0,00 €                                   </w:t>
            </w:r>
          </w:p>
        </w:tc>
      </w:tr>
      <w:tr w:rsidR="00A76466" w:rsidRPr="00A76466" w14:paraId="63D72EFC"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08372B"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041 - Opérations patrimoniales</w:t>
            </w:r>
          </w:p>
        </w:tc>
        <w:tc>
          <w:tcPr>
            <w:tcW w:w="2220" w:type="dxa"/>
            <w:tcBorders>
              <w:top w:val="nil"/>
              <w:left w:val="nil"/>
              <w:bottom w:val="single" w:sz="4" w:space="0" w:color="auto"/>
              <w:right w:val="single" w:sz="4" w:space="0" w:color="auto"/>
            </w:tcBorders>
            <w:shd w:val="clear" w:color="auto" w:fill="auto"/>
            <w:hideMark/>
          </w:tcPr>
          <w:p w14:paraId="06396B54"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72 522,00 €                          </w:t>
            </w:r>
          </w:p>
        </w:tc>
      </w:tr>
      <w:tr w:rsidR="00A76466" w:rsidRPr="00A76466" w14:paraId="1A9A88C9"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325F99"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16 - Emprunts et dettes assimilées</w:t>
            </w:r>
          </w:p>
        </w:tc>
        <w:tc>
          <w:tcPr>
            <w:tcW w:w="2220" w:type="dxa"/>
            <w:tcBorders>
              <w:top w:val="nil"/>
              <w:left w:val="nil"/>
              <w:bottom w:val="single" w:sz="4" w:space="0" w:color="auto"/>
              <w:right w:val="single" w:sz="4" w:space="0" w:color="auto"/>
            </w:tcBorders>
            <w:shd w:val="clear" w:color="auto" w:fill="auto"/>
            <w:hideMark/>
          </w:tcPr>
          <w:p w14:paraId="148A598F"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0,00 €                                   </w:t>
            </w:r>
          </w:p>
        </w:tc>
      </w:tr>
      <w:tr w:rsidR="00A76466" w:rsidRPr="00A76466" w14:paraId="67967568"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7E4596"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20 - Immobilisations incorporelles</w:t>
            </w:r>
          </w:p>
        </w:tc>
        <w:tc>
          <w:tcPr>
            <w:tcW w:w="2220" w:type="dxa"/>
            <w:tcBorders>
              <w:top w:val="nil"/>
              <w:left w:val="nil"/>
              <w:bottom w:val="single" w:sz="4" w:space="0" w:color="auto"/>
              <w:right w:val="single" w:sz="4" w:space="0" w:color="auto"/>
            </w:tcBorders>
            <w:shd w:val="clear" w:color="auto" w:fill="auto"/>
            <w:hideMark/>
          </w:tcPr>
          <w:p w14:paraId="484058AB"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95 427,90 €                          </w:t>
            </w:r>
          </w:p>
        </w:tc>
      </w:tr>
      <w:tr w:rsidR="00A76466" w:rsidRPr="00A76466" w14:paraId="729E0EBB"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22F618"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204 - Subventions d'équipement versées</w:t>
            </w:r>
          </w:p>
        </w:tc>
        <w:tc>
          <w:tcPr>
            <w:tcW w:w="2220" w:type="dxa"/>
            <w:tcBorders>
              <w:top w:val="nil"/>
              <w:left w:val="nil"/>
              <w:bottom w:val="single" w:sz="4" w:space="0" w:color="auto"/>
              <w:right w:val="single" w:sz="4" w:space="0" w:color="auto"/>
            </w:tcBorders>
            <w:shd w:val="clear" w:color="auto" w:fill="auto"/>
            <w:hideMark/>
          </w:tcPr>
          <w:p w14:paraId="6247ABFE"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70 780,83 €                          </w:t>
            </w:r>
          </w:p>
        </w:tc>
      </w:tr>
      <w:tr w:rsidR="00A76466" w:rsidRPr="00A76466" w14:paraId="60A7703E"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A80582"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23 - Immobilisations en cours</w:t>
            </w:r>
          </w:p>
        </w:tc>
        <w:tc>
          <w:tcPr>
            <w:tcW w:w="2220" w:type="dxa"/>
            <w:tcBorders>
              <w:top w:val="nil"/>
              <w:left w:val="nil"/>
              <w:bottom w:val="single" w:sz="4" w:space="0" w:color="auto"/>
              <w:right w:val="single" w:sz="4" w:space="0" w:color="auto"/>
            </w:tcBorders>
            <w:shd w:val="clear" w:color="auto" w:fill="auto"/>
            <w:hideMark/>
          </w:tcPr>
          <w:p w14:paraId="2CE82385"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1 107 096,87 €                     </w:t>
            </w:r>
          </w:p>
        </w:tc>
      </w:tr>
      <w:tr w:rsidR="00A76466" w:rsidRPr="00A76466" w14:paraId="326F9F08"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000000" w:fill="B4C6E7"/>
            <w:hideMark/>
          </w:tcPr>
          <w:p w14:paraId="1289ECF1" w14:textId="77777777" w:rsidR="00A76466" w:rsidRPr="00EE7A45" w:rsidRDefault="00A76466" w:rsidP="00A76466">
            <w:pPr>
              <w:spacing w:after="0" w:line="240" w:lineRule="auto"/>
              <w:rPr>
                <w:rFonts w:eastAsia="Times New Roman" w:cstheme="minorHAnsi"/>
                <w:b/>
                <w:bCs/>
                <w:i/>
                <w:iCs/>
                <w:color w:val="000000"/>
                <w:lang w:eastAsia="fr-FR"/>
              </w:rPr>
            </w:pPr>
            <w:r w:rsidRPr="00EE7A45">
              <w:rPr>
                <w:rFonts w:eastAsia="Times New Roman" w:cstheme="minorHAnsi"/>
                <w:b/>
                <w:bCs/>
                <w:i/>
                <w:iCs/>
                <w:color w:val="000000"/>
                <w:lang w:eastAsia="fr-FR"/>
              </w:rPr>
              <w:t>Investissement - Recette</w:t>
            </w:r>
          </w:p>
        </w:tc>
        <w:tc>
          <w:tcPr>
            <w:tcW w:w="2220" w:type="dxa"/>
            <w:tcBorders>
              <w:top w:val="nil"/>
              <w:left w:val="nil"/>
              <w:bottom w:val="single" w:sz="4" w:space="0" w:color="auto"/>
              <w:right w:val="single" w:sz="4" w:space="0" w:color="auto"/>
            </w:tcBorders>
            <w:shd w:val="clear" w:color="000000" w:fill="B4C6E7"/>
            <w:hideMark/>
          </w:tcPr>
          <w:p w14:paraId="50539B0A" w14:textId="77777777" w:rsidR="00A76466" w:rsidRPr="00EE7A45" w:rsidRDefault="00A76466" w:rsidP="00A76466">
            <w:pPr>
              <w:spacing w:after="0" w:line="240" w:lineRule="auto"/>
              <w:jc w:val="right"/>
              <w:rPr>
                <w:rFonts w:eastAsia="Times New Roman" w:cstheme="minorHAnsi"/>
                <w:b/>
                <w:bCs/>
                <w:i/>
                <w:iCs/>
                <w:color w:val="000000"/>
                <w:lang w:eastAsia="fr-FR"/>
              </w:rPr>
            </w:pPr>
            <w:r w:rsidRPr="00EE7A45">
              <w:rPr>
                <w:rFonts w:eastAsia="Times New Roman" w:cstheme="minorHAnsi"/>
                <w:b/>
                <w:bCs/>
                <w:i/>
                <w:iCs/>
                <w:color w:val="000000"/>
                <w:lang w:eastAsia="fr-FR"/>
              </w:rPr>
              <w:t xml:space="preserve">1 544 298,88 €             </w:t>
            </w:r>
          </w:p>
        </w:tc>
      </w:tr>
      <w:tr w:rsidR="00A76466" w:rsidRPr="00A76466" w14:paraId="7625947D"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F34CBEC"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040 - Opérations d'ordre de transfert entre sections</w:t>
            </w:r>
          </w:p>
        </w:tc>
        <w:tc>
          <w:tcPr>
            <w:tcW w:w="2220" w:type="dxa"/>
            <w:tcBorders>
              <w:top w:val="nil"/>
              <w:left w:val="nil"/>
              <w:bottom w:val="single" w:sz="4" w:space="0" w:color="auto"/>
              <w:right w:val="single" w:sz="4" w:space="0" w:color="auto"/>
            </w:tcBorders>
            <w:shd w:val="clear" w:color="auto" w:fill="auto"/>
            <w:hideMark/>
          </w:tcPr>
          <w:p w14:paraId="27800AA8"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5 994,00 €                            </w:t>
            </w:r>
          </w:p>
        </w:tc>
      </w:tr>
      <w:tr w:rsidR="00A76466" w:rsidRPr="00A76466" w14:paraId="3395488C"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BE67DD"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041 - Opérations patrimoniales</w:t>
            </w:r>
          </w:p>
        </w:tc>
        <w:tc>
          <w:tcPr>
            <w:tcW w:w="2220" w:type="dxa"/>
            <w:tcBorders>
              <w:top w:val="nil"/>
              <w:left w:val="nil"/>
              <w:bottom w:val="single" w:sz="4" w:space="0" w:color="auto"/>
              <w:right w:val="single" w:sz="4" w:space="0" w:color="auto"/>
            </w:tcBorders>
            <w:shd w:val="clear" w:color="auto" w:fill="auto"/>
            <w:hideMark/>
          </w:tcPr>
          <w:p w14:paraId="15A344DB"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72 522,00 €                          </w:t>
            </w:r>
          </w:p>
        </w:tc>
      </w:tr>
      <w:tr w:rsidR="00A76466" w:rsidRPr="00A76466" w14:paraId="05C63AC1"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0CE52D"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10 - Dotations, fonds divers et réserves</w:t>
            </w:r>
          </w:p>
        </w:tc>
        <w:tc>
          <w:tcPr>
            <w:tcW w:w="2220" w:type="dxa"/>
            <w:tcBorders>
              <w:top w:val="nil"/>
              <w:left w:val="nil"/>
              <w:bottom w:val="single" w:sz="4" w:space="0" w:color="auto"/>
              <w:right w:val="single" w:sz="4" w:space="0" w:color="auto"/>
            </w:tcBorders>
            <w:shd w:val="clear" w:color="auto" w:fill="auto"/>
            <w:hideMark/>
          </w:tcPr>
          <w:p w14:paraId="66C0994E"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316 165,45 €                        </w:t>
            </w:r>
          </w:p>
        </w:tc>
      </w:tr>
      <w:tr w:rsidR="00A76466" w:rsidRPr="00A76466" w14:paraId="2F46935F"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C8AEE5"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13 - Subventions d'investissement</w:t>
            </w:r>
          </w:p>
        </w:tc>
        <w:tc>
          <w:tcPr>
            <w:tcW w:w="2220" w:type="dxa"/>
            <w:tcBorders>
              <w:top w:val="nil"/>
              <w:left w:val="nil"/>
              <w:bottom w:val="single" w:sz="4" w:space="0" w:color="auto"/>
              <w:right w:val="single" w:sz="4" w:space="0" w:color="auto"/>
            </w:tcBorders>
            <w:shd w:val="clear" w:color="auto" w:fill="auto"/>
            <w:hideMark/>
          </w:tcPr>
          <w:p w14:paraId="4DEA442F"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1 074 877,11 €                     </w:t>
            </w:r>
          </w:p>
        </w:tc>
      </w:tr>
      <w:tr w:rsidR="00A76466" w:rsidRPr="00A76466" w14:paraId="76D3D92A"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906440" w14:textId="77777777" w:rsidR="00A76466" w:rsidRPr="00EE7A45" w:rsidRDefault="00A76466" w:rsidP="00A76466">
            <w:pPr>
              <w:spacing w:after="0" w:line="240" w:lineRule="auto"/>
              <w:rPr>
                <w:rFonts w:eastAsia="Times New Roman" w:cstheme="minorHAnsi"/>
                <w:color w:val="000000"/>
                <w:lang w:eastAsia="fr-FR"/>
              </w:rPr>
            </w:pPr>
            <w:r w:rsidRPr="00EE7A45">
              <w:rPr>
                <w:rFonts w:eastAsia="Times New Roman" w:cstheme="minorHAnsi"/>
                <w:color w:val="000000"/>
                <w:lang w:eastAsia="fr-FR"/>
              </w:rPr>
              <w:t>23 - Immobilisations en cours</w:t>
            </w:r>
          </w:p>
        </w:tc>
        <w:tc>
          <w:tcPr>
            <w:tcW w:w="2220" w:type="dxa"/>
            <w:tcBorders>
              <w:top w:val="nil"/>
              <w:left w:val="nil"/>
              <w:bottom w:val="single" w:sz="4" w:space="0" w:color="auto"/>
              <w:right w:val="single" w:sz="4" w:space="0" w:color="auto"/>
            </w:tcBorders>
            <w:shd w:val="clear" w:color="auto" w:fill="auto"/>
            <w:hideMark/>
          </w:tcPr>
          <w:p w14:paraId="5B62C2B1" w14:textId="77777777" w:rsidR="00A76466" w:rsidRPr="00EE7A45" w:rsidRDefault="00A76466" w:rsidP="00A76466">
            <w:pPr>
              <w:spacing w:after="0" w:line="240" w:lineRule="auto"/>
              <w:jc w:val="right"/>
              <w:rPr>
                <w:rFonts w:eastAsia="Times New Roman" w:cstheme="minorHAnsi"/>
                <w:color w:val="000000"/>
                <w:lang w:eastAsia="fr-FR"/>
              </w:rPr>
            </w:pPr>
            <w:r w:rsidRPr="00EE7A45">
              <w:rPr>
                <w:rFonts w:eastAsia="Times New Roman" w:cstheme="minorHAnsi"/>
                <w:color w:val="000000"/>
                <w:lang w:eastAsia="fr-FR"/>
              </w:rPr>
              <w:t xml:space="preserve">74 740,32 €                          </w:t>
            </w:r>
          </w:p>
        </w:tc>
      </w:tr>
      <w:tr w:rsidR="00A76466" w:rsidRPr="00A76466" w14:paraId="7B8B6B89"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3F0A6F" w14:textId="77777777" w:rsidR="00A76466" w:rsidRPr="00EE7A45" w:rsidRDefault="00A76466" w:rsidP="00A76466">
            <w:pPr>
              <w:spacing w:after="0" w:line="240" w:lineRule="auto"/>
              <w:rPr>
                <w:rFonts w:eastAsia="Times New Roman" w:cstheme="minorHAnsi"/>
                <w:b/>
                <w:bCs/>
                <w:color w:val="000000"/>
                <w:lang w:eastAsia="fr-FR"/>
              </w:rPr>
            </w:pPr>
            <w:r w:rsidRPr="00EE7A45">
              <w:rPr>
                <w:rFonts w:eastAsia="Times New Roman" w:cstheme="minorHAnsi"/>
                <w:b/>
                <w:bCs/>
                <w:color w:val="000000"/>
                <w:lang w:eastAsia="fr-FR"/>
              </w:rPr>
              <w:t>RESULTAT</w:t>
            </w:r>
          </w:p>
        </w:tc>
        <w:tc>
          <w:tcPr>
            <w:tcW w:w="2220" w:type="dxa"/>
            <w:tcBorders>
              <w:top w:val="nil"/>
              <w:left w:val="nil"/>
              <w:bottom w:val="single" w:sz="4" w:space="0" w:color="auto"/>
              <w:right w:val="single" w:sz="4" w:space="0" w:color="auto"/>
            </w:tcBorders>
            <w:shd w:val="clear" w:color="auto" w:fill="auto"/>
            <w:noWrap/>
            <w:hideMark/>
          </w:tcPr>
          <w:p w14:paraId="658006A2" w14:textId="69567256" w:rsidR="00A76466" w:rsidRPr="00EE7A45" w:rsidRDefault="00A76466" w:rsidP="0023556D">
            <w:pPr>
              <w:spacing w:after="0" w:line="240" w:lineRule="auto"/>
              <w:jc w:val="right"/>
              <w:rPr>
                <w:rFonts w:eastAsia="Times New Roman" w:cstheme="minorHAnsi"/>
                <w:b/>
                <w:bCs/>
                <w:color w:val="000000"/>
                <w:lang w:eastAsia="fr-FR"/>
              </w:rPr>
            </w:pPr>
            <w:r w:rsidRPr="00EE7A45">
              <w:rPr>
                <w:rFonts w:eastAsia="Times New Roman" w:cstheme="minorHAnsi"/>
                <w:b/>
                <w:bCs/>
                <w:color w:val="000000"/>
                <w:lang w:eastAsia="fr-FR"/>
              </w:rPr>
              <w:t xml:space="preserve">38 180,59 € </w:t>
            </w:r>
          </w:p>
        </w:tc>
      </w:tr>
      <w:tr w:rsidR="00A76466" w:rsidRPr="00A76466" w14:paraId="36831328" w14:textId="77777777" w:rsidTr="00EE7A45">
        <w:trPr>
          <w:trHeight w:val="288"/>
          <w:jc w:val="center"/>
        </w:trPr>
        <w:tc>
          <w:tcPr>
            <w:tcW w:w="1240" w:type="dxa"/>
            <w:tcBorders>
              <w:top w:val="nil"/>
              <w:left w:val="nil"/>
              <w:bottom w:val="nil"/>
              <w:right w:val="nil"/>
            </w:tcBorders>
            <w:shd w:val="clear" w:color="auto" w:fill="auto"/>
            <w:noWrap/>
            <w:vAlign w:val="bottom"/>
            <w:hideMark/>
          </w:tcPr>
          <w:p w14:paraId="2EA95C2F" w14:textId="77777777" w:rsidR="00A76466" w:rsidRPr="00EE7A45" w:rsidRDefault="00A76466" w:rsidP="00A76466">
            <w:pPr>
              <w:spacing w:after="0" w:line="240" w:lineRule="auto"/>
              <w:rPr>
                <w:rFonts w:eastAsia="Times New Roman" w:cstheme="minorHAnsi"/>
                <w:b/>
                <w:bCs/>
                <w:color w:val="000000"/>
                <w:lang w:eastAsia="fr-FR"/>
              </w:rPr>
            </w:pPr>
          </w:p>
        </w:tc>
        <w:tc>
          <w:tcPr>
            <w:tcW w:w="3680" w:type="dxa"/>
            <w:tcBorders>
              <w:top w:val="nil"/>
              <w:left w:val="nil"/>
              <w:bottom w:val="nil"/>
              <w:right w:val="nil"/>
            </w:tcBorders>
            <w:shd w:val="clear" w:color="auto" w:fill="auto"/>
            <w:noWrap/>
            <w:vAlign w:val="bottom"/>
            <w:hideMark/>
          </w:tcPr>
          <w:p w14:paraId="324242D4" w14:textId="77777777" w:rsidR="00A76466" w:rsidRPr="00EE7A45" w:rsidRDefault="00A76466" w:rsidP="00A76466">
            <w:pPr>
              <w:spacing w:after="0" w:line="240" w:lineRule="auto"/>
              <w:rPr>
                <w:rFonts w:eastAsia="Times New Roman" w:cstheme="minorHAnsi"/>
                <w:lang w:eastAsia="fr-FR"/>
              </w:rPr>
            </w:pPr>
          </w:p>
        </w:tc>
        <w:tc>
          <w:tcPr>
            <w:tcW w:w="2220" w:type="dxa"/>
            <w:tcBorders>
              <w:top w:val="nil"/>
              <w:left w:val="nil"/>
              <w:bottom w:val="nil"/>
              <w:right w:val="nil"/>
            </w:tcBorders>
            <w:shd w:val="clear" w:color="auto" w:fill="auto"/>
            <w:noWrap/>
            <w:vAlign w:val="bottom"/>
            <w:hideMark/>
          </w:tcPr>
          <w:p w14:paraId="330A8AFE" w14:textId="77777777" w:rsidR="00A76466" w:rsidRPr="00EE7A45" w:rsidRDefault="00A76466" w:rsidP="00A76466">
            <w:pPr>
              <w:spacing w:after="0" w:line="240" w:lineRule="auto"/>
              <w:rPr>
                <w:rFonts w:eastAsia="Times New Roman" w:cstheme="minorHAnsi"/>
                <w:lang w:eastAsia="fr-FR"/>
              </w:rPr>
            </w:pPr>
          </w:p>
        </w:tc>
      </w:tr>
      <w:tr w:rsidR="00A76466" w:rsidRPr="00A76466" w14:paraId="561F933A" w14:textId="77777777" w:rsidTr="00EE7A45">
        <w:trPr>
          <w:trHeight w:val="288"/>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2BA0D" w14:textId="77777777" w:rsidR="00A76466" w:rsidRPr="00EE7A45" w:rsidRDefault="00A76466" w:rsidP="00A76466">
            <w:pPr>
              <w:spacing w:after="0" w:line="240" w:lineRule="auto"/>
              <w:rPr>
                <w:rFonts w:eastAsia="Times New Roman" w:cstheme="minorHAnsi"/>
                <w:b/>
                <w:bCs/>
                <w:color w:val="000000"/>
                <w:lang w:eastAsia="fr-FR"/>
              </w:rPr>
            </w:pPr>
            <w:r w:rsidRPr="00EE7A45">
              <w:rPr>
                <w:rFonts w:eastAsia="Times New Roman" w:cstheme="minorHAnsi"/>
                <w:b/>
                <w:bCs/>
                <w:color w:val="000000"/>
                <w:lang w:eastAsia="fr-FR"/>
              </w:rPr>
              <w:t>RESULTAT GENERAL</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7B285A5D" w14:textId="5582BE7D" w:rsidR="00A76466" w:rsidRPr="00EE7A45" w:rsidRDefault="00A76466" w:rsidP="0023556D">
            <w:pPr>
              <w:spacing w:after="0" w:line="240" w:lineRule="auto"/>
              <w:jc w:val="right"/>
              <w:rPr>
                <w:rFonts w:eastAsia="Times New Roman" w:cstheme="minorHAnsi"/>
                <w:b/>
                <w:bCs/>
                <w:color w:val="000000"/>
                <w:lang w:eastAsia="fr-FR"/>
              </w:rPr>
            </w:pPr>
            <w:r w:rsidRPr="00EE7A45">
              <w:rPr>
                <w:rFonts w:eastAsia="Times New Roman" w:cstheme="minorHAnsi"/>
                <w:b/>
                <w:bCs/>
                <w:color w:val="000000"/>
                <w:lang w:eastAsia="fr-FR"/>
              </w:rPr>
              <w:t xml:space="preserve">270 573,67 € </w:t>
            </w:r>
          </w:p>
        </w:tc>
      </w:tr>
    </w:tbl>
    <w:p w14:paraId="46593DBA" w14:textId="50291219" w:rsidR="00A76466" w:rsidRPr="008253B6" w:rsidRDefault="00A76466" w:rsidP="00A76466">
      <w:pPr>
        <w:spacing w:before="360" w:after="0" w:line="240" w:lineRule="auto"/>
        <w:jc w:val="both"/>
        <w:rPr>
          <w:rFonts w:eastAsiaTheme="minorEastAsia" w:cstheme="minorHAnsi"/>
          <w:b/>
          <w:color w:val="000000"/>
        </w:rPr>
      </w:pPr>
      <w:r w:rsidRPr="008253B6">
        <w:rPr>
          <w:rFonts w:eastAsiaTheme="minorEastAsia" w:cstheme="minorHAnsi"/>
          <w:bCs/>
        </w:rPr>
        <w:t>Les dépenses d’investissement 2020</w:t>
      </w:r>
      <w:r w:rsidRPr="008253B6">
        <w:rPr>
          <w:rFonts w:eastAsiaTheme="minorEastAsia" w:cstheme="minorHAnsi"/>
          <w:b/>
        </w:rPr>
        <w:t xml:space="preserve"> </w:t>
      </w:r>
      <w:r w:rsidRPr="008253B6">
        <w:rPr>
          <w:rFonts w:eastAsiaTheme="minorEastAsia" w:cstheme="minorHAnsi"/>
        </w:rPr>
        <w:t>ont principalement porté sur :</w:t>
      </w:r>
    </w:p>
    <w:p w14:paraId="77B7D12E" w14:textId="77777777" w:rsidR="00A76466" w:rsidRPr="008253B6" w:rsidRDefault="00A76466" w:rsidP="00A76466">
      <w:pPr>
        <w:pStyle w:val="Paragraphedeliste"/>
        <w:numPr>
          <w:ilvl w:val="0"/>
          <w:numId w:val="2"/>
        </w:numPr>
        <w:tabs>
          <w:tab w:val="clear" w:pos="720"/>
          <w:tab w:val="num" w:pos="567"/>
          <w:tab w:val="decimal" w:pos="8505"/>
          <w:tab w:val="right" w:pos="8789"/>
        </w:tabs>
        <w:spacing w:before="120" w:after="0" w:line="240" w:lineRule="auto"/>
        <w:ind w:left="0" w:firstLine="0"/>
        <w:jc w:val="both"/>
        <w:rPr>
          <w:rFonts w:eastAsiaTheme="minorEastAsia" w:cstheme="minorHAnsi"/>
        </w:rPr>
      </w:pPr>
      <w:r w:rsidRPr="008253B6">
        <w:rPr>
          <w:rFonts w:eastAsiaTheme="minorEastAsia" w:cstheme="minorHAnsi"/>
        </w:rPr>
        <w:t>Les dépenses d’études portent principalement sur la stratégie de gestion</w:t>
      </w:r>
    </w:p>
    <w:p w14:paraId="2C27768F" w14:textId="77777777" w:rsidR="00A76466" w:rsidRPr="008253B6" w:rsidRDefault="00A76466" w:rsidP="00A76466">
      <w:pPr>
        <w:pStyle w:val="Paragraphedeliste"/>
        <w:tabs>
          <w:tab w:val="decimal" w:pos="8505"/>
          <w:tab w:val="right" w:pos="8789"/>
        </w:tabs>
        <w:spacing w:before="120" w:after="0" w:line="240" w:lineRule="auto"/>
        <w:ind w:left="567"/>
        <w:jc w:val="both"/>
        <w:rPr>
          <w:rFonts w:eastAsiaTheme="minorEastAsia" w:cstheme="minorHAnsi"/>
        </w:rPr>
      </w:pPr>
      <w:r w:rsidRPr="008253B6">
        <w:rPr>
          <w:rFonts w:eastAsiaTheme="minorEastAsia" w:cstheme="minorHAnsi"/>
        </w:rPr>
        <w:t xml:space="preserve">du trait de côte entre la </w:t>
      </w:r>
      <w:proofErr w:type="spellStart"/>
      <w:r w:rsidRPr="008253B6">
        <w:rPr>
          <w:rFonts w:eastAsiaTheme="minorEastAsia" w:cstheme="minorHAnsi"/>
        </w:rPr>
        <w:t>Négade</w:t>
      </w:r>
      <w:proofErr w:type="spellEnd"/>
      <w:r w:rsidRPr="008253B6">
        <w:rPr>
          <w:rFonts w:eastAsiaTheme="minorEastAsia" w:cstheme="minorHAnsi"/>
        </w:rPr>
        <w:t xml:space="preserve"> et Naujac sur Mer (23 661,90 €), </w:t>
      </w:r>
    </w:p>
    <w:p w14:paraId="63CF8D3A" w14:textId="77777777" w:rsidR="00A76466" w:rsidRPr="008253B6" w:rsidRDefault="00A76466" w:rsidP="00A76466">
      <w:pPr>
        <w:pStyle w:val="Paragraphedeliste"/>
        <w:tabs>
          <w:tab w:val="decimal" w:pos="8505"/>
          <w:tab w:val="right" w:pos="8789"/>
        </w:tabs>
        <w:spacing w:before="120" w:after="0" w:line="240" w:lineRule="auto"/>
        <w:ind w:left="567"/>
        <w:jc w:val="both"/>
        <w:rPr>
          <w:rFonts w:eastAsiaTheme="minorEastAsia" w:cstheme="minorHAnsi"/>
        </w:rPr>
      </w:pPr>
      <w:r w:rsidRPr="008253B6">
        <w:rPr>
          <w:rFonts w:eastAsiaTheme="minorEastAsia" w:cstheme="minorHAnsi"/>
        </w:rPr>
        <w:t xml:space="preserve">et la programmation des travaux de protection de Soulac sur Mer </w:t>
      </w:r>
    </w:p>
    <w:p w14:paraId="68A1E5E4" w14:textId="00FC22CC" w:rsidR="00A76466" w:rsidRPr="008253B6" w:rsidRDefault="00A76466" w:rsidP="00A76466">
      <w:pPr>
        <w:pStyle w:val="Paragraphedeliste"/>
        <w:tabs>
          <w:tab w:val="decimal" w:pos="8505"/>
          <w:tab w:val="right" w:pos="8789"/>
        </w:tabs>
        <w:spacing w:before="120" w:after="0" w:line="240" w:lineRule="auto"/>
        <w:ind w:left="567"/>
        <w:jc w:val="both"/>
        <w:rPr>
          <w:rFonts w:eastAsiaTheme="minorEastAsia" w:cstheme="minorHAnsi"/>
        </w:rPr>
      </w:pPr>
      <w:r w:rsidRPr="008253B6">
        <w:rPr>
          <w:rFonts w:eastAsiaTheme="minorEastAsia" w:cstheme="minorHAnsi"/>
        </w:rPr>
        <w:t xml:space="preserve">prévus dans la stratégie (71 766 €). </w:t>
      </w:r>
      <w:r w:rsidRPr="008253B6">
        <w:rPr>
          <w:rFonts w:eastAsiaTheme="minorEastAsia" w:cstheme="minorHAnsi"/>
        </w:rPr>
        <w:tab/>
        <w:t>95 427,90 €</w:t>
      </w:r>
    </w:p>
    <w:p w14:paraId="690CE333" w14:textId="77777777" w:rsidR="00A76466" w:rsidRPr="008253B6" w:rsidRDefault="00A76466" w:rsidP="00F11BB3">
      <w:pPr>
        <w:pStyle w:val="Paragraphedeliste"/>
        <w:numPr>
          <w:ilvl w:val="0"/>
          <w:numId w:val="2"/>
        </w:numPr>
        <w:tabs>
          <w:tab w:val="clear" w:pos="720"/>
          <w:tab w:val="num" w:pos="567"/>
          <w:tab w:val="decimal" w:pos="8505"/>
          <w:tab w:val="right" w:pos="8789"/>
        </w:tabs>
        <w:spacing w:before="120" w:after="0" w:line="240" w:lineRule="auto"/>
        <w:ind w:left="0" w:firstLine="0"/>
        <w:jc w:val="both"/>
        <w:rPr>
          <w:rFonts w:eastAsiaTheme="minorEastAsia" w:cstheme="minorHAnsi"/>
        </w:rPr>
      </w:pPr>
      <w:r w:rsidRPr="008253B6">
        <w:rPr>
          <w:rFonts w:eastAsiaTheme="minorEastAsia" w:cstheme="minorHAnsi"/>
        </w:rPr>
        <w:t xml:space="preserve">Subventions versées à l’université de Bordeaux pour le suivi archéologique </w:t>
      </w:r>
    </w:p>
    <w:p w14:paraId="3BBC3B1D" w14:textId="77777777" w:rsidR="00A76466" w:rsidRPr="008253B6" w:rsidRDefault="00A76466" w:rsidP="00A76466">
      <w:pPr>
        <w:pStyle w:val="Paragraphedeliste"/>
        <w:tabs>
          <w:tab w:val="num" w:pos="567"/>
          <w:tab w:val="decimal" w:pos="8505"/>
          <w:tab w:val="right" w:pos="8789"/>
        </w:tabs>
        <w:spacing w:before="120" w:after="0" w:line="240" w:lineRule="auto"/>
        <w:ind w:left="567"/>
        <w:jc w:val="both"/>
        <w:rPr>
          <w:rFonts w:eastAsiaTheme="minorEastAsia" w:cstheme="minorHAnsi"/>
        </w:rPr>
      </w:pPr>
      <w:r w:rsidRPr="008253B6">
        <w:rPr>
          <w:rFonts w:eastAsiaTheme="minorEastAsia" w:cstheme="minorHAnsi"/>
        </w:rPr>
        <w:t xml:space="preserve">(34 310 €) et à la commune de Lacanau pour l’accomplissement de sa stratégie </w:t>
      </w:r>
    </w:p>
    <w:p w14:paraId="0236A24D" w14:textId="3F348FB1" w:rsidR="00A76466" w:rsidRPr="008253B6" w:rsidRDefault="00A76466" w:rsidP="00A76466">
      <w:pPr>
        <w:pStyle w:val="Paragraphedeliste"/>
        <w:tabs>
          <w:tab w:val="num" w:pos="567"/>
          <w:tab w:val="decimal" w:pos="8505"/>
          <w:tab w:val="right" w:pos="8789"/>
        </w:tabs>
        <w:spacing w:before="120" w:after="0" w:line="240" w:lineRule="auto"/>
        <w:ind w:left="567"/>
        <w:jc w:val="both"/>
        <w:rPr>
          <w:rFonts w:eastAsiaTheme="minorEastAsia" w:cstheme="minorHAnsi"/>
        </w:rPr>
      </w:pPr>
      <w:r w:rsidRPr="008253B6">
        <w:rPr>
          <w:rFonts w:eastAsiaTheme="minorEastAsia" w:cstheme="minorHAnsi"/>
        </w:rPr>
        <w:t>(36 470,83 €).</w:t>
      </w:r>
      <w:r w:rsidRPr="008253B6">
        <w:rPr>
          <w:rFonts w:eastAsiaTheme="minorEastAsia" w:cstheme="minorHAnsi"/>
        </w:rPr>
        <w:tab/>
        <w:t>70 780,83 €</w:t>
      </w:r>
    </w:p>
    <w:p w14:paraId="66C7EFBF" w14:textId="77777777" w:rsidR="0023556D" w:rsidRPr="008253B6" w:rsidRDefault="0023556D" w:rsidP="0023556D">
      <w:pPr>
        <w:pStyle w:val="Paragraphedeliste"/>
        <w:numPr>
          <w:ilvl w:val="0"/>
          <w:numId w:val="2"/>
        </w:numPr>
        <w:tabs>
          <w:tab w:val="clear" w:pos="720"/>
          <w:tab w:val="num" w:pos="567"/>
          <w:tab w:val="decimal" w:pos="8505"/>
          <w:tab w:val="right" w:pos="8789"/>
        </w:tabs>
        <w:spacing w:before="120" w:after="0" w:line="240" w:lineRule="auto"/>
        <w:ind w:left="0" w:firstLine="0"/>
        <w:jc w:val="both"/>
        <w:rPr>
          <w:rFonts w:eastAsiaTheme="minorEastAsia" w:cstheme="minorHAnsi"/>
        </w:rPr>
      </w:pPr>
      <w:r w:rsidRPr="008253B6">
        <w:rPr>
          <w:rFonts w:eastAsiaTheme="minorEastAsia" w:cstheme="minorHAnsi"/>
        </w:rPr>
        <w:t xml:space="preserve">Règlements des études, travaux relatifs aux opérations de rechargement </w:t>
      </w:r>
    </w:p>
    <w:p w14:paraId="1F456C5F" w14:textId="77777777" w:rsidR="0023556D" w:rsidRPr="008253B6" w:rsidRDefault="0023556D" w:rsidP="0023556D">
      <w:pPr>
        <w:pStyle w:val="Paragraphedeliste"/>
        <w:tabs>
          <w:tab w:val="decimal" w:pos="8505"/>
          <w:tab w:val="right" w:pos="8789"/>
        </w:tabs>
        <w:spacing w:before="120" w:after="0" w:line="240" w:lineRule="auto"/>
        <w:ind w:left="567"/>
        <w:jc w:val="both"/>
        <w:rPr>
          <w:rFonts w:eastAsiaTheme="minorEastAsia" w:cstheme="minorHAnsi"/>
        </w:rPr>
      </w:pPr>
      <w:r w:rsidRPr="008253B6">
        <w:rPr>
          <w:rFonts w:eastAsiaTheme="minorEastAsia" w:cstheme="minorHAnsi"/>
        </w:rPr>
        <w:lastRenderedPageBreak/>
        <w:t xml:space="preserve">de la plage de Carcans, de la plage Sud de Soulac sur mer et </w:t>
      </w:r>
      <w:proofErr w:type="spellStart"/>
      <w:r w:rsidRPr="008253B6">
        <w:rPr>
          <w:rFonts w:eastAsiaTheme="minorEastAsia" w:cstheme="minorHAnsi"/>
        </w:rPr>
        <w:t>Vendays</w:t>
      </w:r>
      <w:proofErr w:type="spellEnd"/>
      <w:r w:rsidRPr="008253B6">
        <w:rPr>
          <w:rFonts w:eastAsiaTheme="minorEastAsia" w:cstheme="minorHAnsi"/>
        </w:rPr>
        <w:t xml:space="preserve"> Montalivet. </w:t>
      </w:r>
    </w:p>
    <w:p w14:paraId="12829ACE" w14:textId="77777777" w:rsidR="0023556D" w:rsidRPr="008253B6" w:rsidRDefault="0023556D" w:rsidP="0023556D">
      <w:pPr>
        <w:pStyle w:val="Paragraphedeliste"/>
        <w:tabs>
          <w:tab w:val="decimal" w:pos="8505"/>
          <w:tab w:val="right" w:pos="8789"/>
        </w:tabs>
        <w:spacing w:before="120" w:after="0" w:line="240" w:lineRule="auto"/>
        <w:ind w:left="567"/>
        <w:jc w:val="both"/>
        <w:rPr>
          <w:rFonts w:eastAsiaTheme="minorEastAsia" w:cstheme="minorHAnsi"/>
        </w:rPr>
      </w:pPr>
      <w:r w:rsidRPr="008253B6">
        <w:rPr>
          <w:rFonts w:eastAsiaTheme="minorEastAsia" w:cstheme="minorHAnsi"/>
        </w:rPr>
        <w:t xml:space="preserve">Travaux réalisés sur la digue du Bas Médoc, sur les communes de Talais, </w:t>
      </w:r>
    </w:p>
    <w:p w14:paraId="7AC75BFA" w14:textId="74203448" w:rsidR="00A76466" w:rsidRPr="008253B6" w:rsidRDefault="0023556D" w:rsidP="0023556D">
      <w:pPr>
        <w:pStyle w:val="Paragraphedeliste"/>
        <w:tabs>
          <w:tab w:val="decimal" w:pos="8505"/>
          <w:tab w:val="right" w:pos="8789"/>
        </w:tabs>
        <w:spacing w:before="120" w:after="0" w:line="240" w:lineRule="auto"/>
        <w:ind w:left="567"/>
        <w:jc w:val="both"/>
        <w:rPr>
          <w:rFonts w:eastAsiaTheme="minorEastAsia" w:cstheme="minorHAnsi"/>
        </w:rPr>
      </w:pPr>
      <w:r w:rsidRPr="008253B6">
        <w:rPr>
          <w:rFonts w:eastAsiaTheme="minorEastAsia" w:cstheme="minorHAnsi"/>
        </w:rPr>
        <w:t xml:space="preserve">Saint Vivien de Médoc et Jau-Dignac et </w:t>
      </w:r>
      <w:proofErr w:type="spellStart"/>
      <w:r w:rsidRPr="008253B6">
        <w:rPr>
          <w:rFonts w:eastAsiaTheme="minorEastAsia" w:cstheme="minorHAnsi"/>
        </w:rPr>
        <w:t>Loirac</w:t>
      </w:r>
      <w:proofErr w:type="spellEnd"/>
      <w:r w:rsidRPr="008253B6">
        <w:rPr>
          <w:rFonts w:eastAsiaTheme="minorEastAsia" w:cstheme="minorHAnsi"/>
        </w:rPr>
        <w:t>.</w:t>
      </w:r>
      <w:r w:rsidR="00A76466" w:rsidRPr="008253B6">
        <w:rPr>
          <w:rFonts w:eastAsiaTheme="minorEastAsia" w:cstheme="minorHAnsi"/>
        </w:rPr>
        <w:tab/>
        <w:t>1 107 096,87 €</w:t>
      </w:r>
    </w:p>
    <w:p w14:paraId="7760ABFD" w14:textId="20EB5C3A" w:rsidR="00A76466" w:rsidRPr="00FF113E" w:rsidRDefault="00A76466" w:rsidP="00FF113E">
      <w:pPr>
        <w:pStyle w:val="Titre2"/>
        <w:spacing w:before="240" w:after="120"/>
        <w:ind w:left="578" w:hanging="578"/>
        <w:rPr>
          <w:rFonts w:asciiTheme="minorHAnsi" w:hAnsiTheme="minorHAnsi" w:cstheme="minorHAnsi"/>
          <w:color w:val="auto"/>
        </w:rPr>
      </w:pPr>
      <w:r w:rsidRPr="00FF113E">
        <w:rPr>
          <w:rFonts w:asciiTheme="minorHAnsi" w:hAnsiTheme="minorHAnsi" w:cstheme="minorHAnsi"/>
          <w:color w:val="auto"/>
        </w:rPr>
        <w:t>Le budget annexe « ZAE Les Bruyères »</w:t>
      </w:r>
    </w:p>
    <w:p w14:paraId="2811F576" w14:textId="382C0513" w:rsidR="00A76466" w:rsidRDefault="008253B6" w:rsidP="00A76466">
      <w:pPr>
        <w:jc w:val="both"/>
      </w:pPr>
      <w:r>
        <w:t xml:space="preserve">Ce budget retrace les coûts d’aménagement </w:t>
      </w:r>
      <w:r w:rsidR="0070025E">
        <w:t>de la zone d’activité économique située à Hourtin et les recettes liées à la commercialisation et à la vente des lots.</w:t>
      </w:r>
    </w:p>
    <w:p w14:paraId="7C702434" w14:textId="2EB738C5" w:rsidR="00A76466" w:rsidRDefault="0070025E" w:rsidP="00A76466">
      <w:pPr>
        <w:jc w:val="both"/>
      </w:pPr>
      <w:r>
        <w:t>En 2020, les recettes générées par la vente des lots s’établissent à 152 160 €.</w:t>
      </w:r>
    </w:p>
    <w:p w14:paraId="4514B822" w14:textId="72A28020" w:rsidR="0070025E" w:rsidRDefault="0070025E" w:rsidP="0070025E">
      <w:pPr>
        <w:jc w:val="both"/>
      </w:pPr>
      <w:r>
        <w:t>Les dépenses 2020 comprennent :</w:t>
      </w:r>
    </w:p>
    <w:p w14:paraId="1B10B5F9" w14:textId="77777777" w:rsidR="0070025E" w:rsidRDefault="0070025E" w:rsidP="0070025E">
      <w:pPr>
        <w:pStyle w:val="Paragraphedeliste"/>
        <w:numPr>
          <w:ilvl w:val="0"/>
          <w:numId w:val="2"/>
        </w:numPr>
        <w:jc w:val="both"/>
      </w:pPr>
      <w:r>
        <w:t>Le paiement études et prestation de services (280,00 €)</w:t>
      </w:r>
    </w:p>
    <w:p w14:paraId="6B4B4F5A" w14:textId="5A9A0B2D" w:rsidR="0070025E" w:rsidRDefault="0070025E" w:rsidP="0070025E">
      <w:pPr>
        <w:pStyle w:val="Paragraphedeliste"/>
        <w:numPr>
          <w:ilvl w:val="0"/>
          <w:numId w:val="2"/>
        </w:numPr>
        <w:jc w:val="both"/>
      </w:pPr>
      <w:r>
        <w:t>Le règlement des travaux réalisés par ENEDIS et ETEN environnement (25 263,08 € HT)</w:t>
      </w:r>
    </w:p>
    <w:p w14:paraId="62776C6E" w14:textId="5F702A4E" w:rsidR="00A76466" w:rsidRDefault="0034320A" w:rsidP="00DF0383">
      <w:pPr>
        <w:pStyle w:val="Paragraphedeliste"/>
        <w:numPr>
          <w:ilvl w:val="0"/>
          <w:numId w:val="2"/>
        </w:numPr>
        <w:jc w:val="both"/>
      </w:pPr>
      <w:r>
        <w:t>Les c</w:t>
      </w:r>
      <w:r w:rsidR="0070025E">
        <w:t xml:space="preserve">harges financières </w:t>
      </w:r>
      <w:r>
        <w:t>de l’emprunt (5</w:t>
      </w:r>
      <w:r w:rsidR="0070025E">
        <w:t xml:space="preserve"> 050 €</w:t>
      </w:r>
      <w:r>
        <w:t>)</w:t>
      </w:r>
    </w:p>
    <w:p w14:paraId="5FBD2273" w14:textId="23F082B0" w:rsidR="00A76466" w:rsidRDefault="0034320A" w:rsidP="00A76466">
      <w:pPr>
        <w:pStyle w:val="Paragraphedeliste"/>
        <w:numPr>
          <w:ilvl w:val="0"/>
          <w:numId w:val="2"/>
        </w:numPr>
        <w:jc w:val="both"/>
      </w:pPr>
      <w:r>
        <w:t>Le remboursement du capital de la dette (50 000 €)</w:t>
      </w:r>
    </w:p>
    <w:p w14:paraId="52B2F854" w14:textId="1A879DCB" w:rsidR="00A76466" w:rsidRPr="00FF113E" w:rsidRDefault="00A76466" w:rsidP="00FF113E">
      <w:pPr>
        <w:pStyle w:val="Titre2"/>
        <w:spacing w:before="240" w:after="120"/>
        <w:ind w:left="578" w:hanging="578"/>
        <w:rPr>
          <w:rFonts w:asciiTheme="minorHAnsi" w:hAnsiTheme="minorHAnsi" w:cstheme="minorHAnsi"/>
          <w:color w:val="auto"/>
        </w:rPr>
      </w:pPr>
      <w:r w:rsidRPr="00FF113E">
        <w:rPr>
          <w:rFonts w:asciiTheme="minorHAnsi" w:hAnsiTheme="minorHAnsi" w:cstheme="minorHAnsi"/>
          <w:color w:val="auto"/>
        </w:rPr>
        <w:t>Le budget annexe « ZAE Palu de Bert »</w:t>
      </w:r>
    </w:p>
    <w:p w14:paraId="7710D757" w14:textId="131BB010" w:rsidR="00FF113E" w:rsidRDefault="0067459C" w:rsidP="00A76466">
      <w:pPr>
        <w:jc w:val="both"/>
      </w:pPr>
      <w:r w:rsidRPr="0067459C">
        <w:t xml:space="preserve">Ce budget retrace les coûts d’aménagement de la zone d’activité économique située à </w:t>
      </w:r>
      <w:r>
        <w:t>Soulac sur Mer</w:t>
      </w:r>
      <w:r w:rsidRPr="0067459C">
        <w:t xml:space="preserve"> et les recettes liées à la commercialisation et à la vente des lots.</w:t>
      </w:r>
      <w:r w:rsidR="00C832CC">
        <w:t xml:space="preserve"> Les derniers lots ayant été vendus, il convient de solder les engagements en dépenses, avant de clore le budget annexe. En 2020, les dépenses et les recettes ont été nulles.</w:t>
      </w:r>
    </w:p>
    <w:p w14:paraId="36ED8C40" w14:textId="2D950917" w:rsidR="00A76466" w:rsidRPr="00FF113E" w:rsidRDefault="00A76466" w:rsidP="00FF113E">
      <w:pPr>
        <w:pStyle w:val="Titre2"/>
        <w:spacing w:before="240" w:after="120"/>
        <w:ind w:left="578" w:hanging="578"/>
        <w:rPr>
          <w:rFonts w:asciiTheme="minorHAnsi" w:hAnsiTheme="minorHAnsi" w:cstheme="minorHAnsi"/>
          <w:color w:val="auto"/>
        </w:rPr>
      </w:pPr>
      <w:r w:rsidRPr="00FF113E">
        <w:rPr>
          <w:rFonts w:asciiTheme="minorHAnsi" w:hAnsiTheme="minorHAnsi" w:cstheme="minorHAnsi"/>
          <w:color w:val="auto"/>
        </w:rPr>
        <w:t>Le budget annexe « Extension ZAE Palu de Bert »</w:t>
      </w:r>
    </w:p>
    <w:p w14:paraId="71DECE4E" w14:textId="6B5B0067" w:rsidR="00FF113E" w:rsidRDefault="0067459C" w:rsidP="00A76466">
      <w:pPr>
        <w:jc w:val="both"/>
      </w:pPr>
      <w:r w:rsidRPr="0067459C">
        <w:t xml:space="preserve">Ce budget retrace les coûts d’aménagement </w:t>
      </w:r>
      <w:r>
        <w:t xml:space="preserve">de l’extension de 12 lots </w:t>
      </w:r>
      <w:r w:rsidRPr="0067459C">
        <w:t xml:space="preserve">de la zone d’activité économique située à </w:t>
      </w:r>
      <w:r>
        <w:t>Soulac sur Mer</w:t>
      </w:r>
      <w:r w:rsidRPr="0067459C">
        <w:t xml:space="preserve"> et les recettes liées à la commercialisation et à la vente des lots.</w:t>
      </w:r>
      <w:r w:rsidR="00F31471">
        <w:t xml:space="preserve"> En 2020, aucun lot n’a été commercialisé et vendu.</w:t>
      </w:r>
    </w:p>
    <w:p w14:paraId="522A5601" w14:textId="42D3E980" w:rsidR="00A76466" w:rsidRPr="00FF113E" w:rsidRDefault="00A76466" w:rsidP="00FF113E">
      <w:pPr>
        <w:pStyle w:val="Titre2"/>
        <w:spacing w:before="240" w:after="120"/>
        <w:ind w:left="578" w:hanging="578"/>
        <w:rPr>
          <w:rFonts w:asciiTheme="minorHAnsi" w:hAnsiTheme="minorHAnsi" w:cstheme="minorHAnsi"/>
          <w:color w:val="auto"/>
        </w:rPr>
      </w:pPr>
      <w:r w:rsidRPr="00FF113E">
        <w:rPr>
          <w:rFonts w:asciiTheme="minorHAnsi" w:hAnsiTheme="minorHAnsi" w:cstheme="minorHAnsi"/>
          <w:color w:val="auto"/>
        </w:rPr>
        <w:t>Le budget annexe « Extension ZAE La Meule »</w:t>
      </w:r>
    </w:p>
    <w:p w14:paraId="04C64A7C" w14:textId="34942546" w:rsidR="00C832CC" w:rsidRDefault="00C832CC" w:rsidP="00A76466">
      <w:pPr>
        <w:jc w:val="both"/>
      </w:pPr>
      <w:r w:rsidRPr="00C832CC">
        <w:t>Ce budget retrace les coûts d’aménagement de l’extension d</w:t>
      </w:r>
      <w:r>
        <w:t>’une dizaine de</w:t>
      </w:r>
      <w:r w:rsidRPr="00C832CC">
        <w:t xml:space="preserve"> lots de la zone d’activité économique située à </w:t>
      </w:r>
      <w:r>
        <w:t>Lacanau</w:t>
      </w:r>
      <w:r w:rsidRPr="00C832CC">
        <w:t xml:space="preserve"> et les recettes liées à la commercialisation et à la vente des lots.</w:t>
      </w:r>
    </w:p>
    <w:p w14:paraId="02615CED" w14:textId="38814B66" w:rsidR="00FF113E" w:rsidRDefault="00C832CC" w:rsidP="00A76466">
      <w:pPr>
        <w:jc w:val="both"/>
      </w:pPr>
      <w:r>
        <w:t xml:space="preserve">Les dépenses </w:t>
      </w:r>
      <w:r w:rsidR="00F31471">
        <w:t>réelles (14 609 €) réalisée</w:t>
      </w:r>
      <w:r>
        <w:t xml:space="preserve">s </w:t>
      </w:r>
      <w:r w:rsidR="00F31471">
        <w:t xml:space="preserve">en 2020 </w:t>
      </w:r>
      <w:r>
        <w:t>correspondent aux dépenses pré</w:t>
      </w:r>
      <w:r w:rsidR="00F31471">
        <w:t>-</w:t>
      </w:r>
      <w:r>
        <w:t>opérationnelle</w:t>
      </w:r>
      <w:r w:rsidR="00C531C4">
        <w:t>s</w:t>
      </w:r>
      <w:r>
        <w:t xml:space="preserve"> </w:t>
      </w:r>
      <w:r w:rsidR="00F31471">
        <w:t>à l’aménagement de la zone.</w:t>
      </w:r>
    </w:p>
    <w:p w14:paraId="3D324DA3" w14:textId="20D76599" w:rsidR="00A76466" w:rsidRPr="00FF113E" w:rsidRDefault="00A76466" w:rsidP="00FF113E">
      <w:pPr>
        <w:pStyle w:val="Titre2"/>
        <w:spacing w:before="240" w:after="120"/>
        <w:ind w:left="578" w:hanging="578"/>
        <w:rPr>
          <w:rFonts w:asciiTheme="minorHAnsi" w:hAnsiTheme="minorHAnsi" w:cstheme="minorHAnsi"/>
          <w:color w:val="auto"/>
        </w:rPr>
      </w:pPr>
      <w:r w:rsidRPr="00FF113E">
        <w:rPr>
          <w:rFonts w:asciiTheme="minorHAnsi" w:hAnsiTheme="minorHAnsi" w:cstheme="minorHAnsi"/>
          <w:color w:val="auto"/>
        </w:rPr>
        <w:t>Le budget annexe « ZAE du Guadet »</w:t>
      </w:r>
    </w:p>
    <w:p w14:paraId="4C499ED6" w14:textId="795154D5" w:rsidR="00FF113E" w:rsidRDefault="00BA75C4" w:rsidP="00A76466">
      <w:pPr>
        <w:jc w:val="both"/>
      </w:pPr>
      <w:r w:rsidRPr="00BA75C4">
        <w:t xml:space="preserve">Ce budget retrace les coûts d’aménagement </w:t>
      </w:r>
      <w:r>
        <w:t>en vue de la création d’une</w:t>
      </w:r>
      <w:r w:rsidRPr="00BA75C4">
        <w:t xml:space="preserve"> zone d’activité économique </w:t>
      </w:r>
      <w:r>
        <w:t>Queyrac</w:t>
      </w:r>
      <w:r w:rsidRPr="00BA75C4">
        <w:t xml:space="preserve"> et les recettes liées à la commercialisation et à la vente des lots.</w:t>
      </w:r>
    </w:p>
    <w:p w14:paraId="46119B14" w14:textId="43EADF14" w:rsidR="00FF113E" w:rsidRDefault="0034320A" w:rsidP="0034320A">
      <w:pPr>
        <w:pStyle w:val="Titre2"/>
        <w:spacing w:before="240" w:after="120"/>
        <w:ind w:left="578" w:hanging="578"/>
      </w:pPr>
      <w:r>
        <w:rPr>
          <w:rFonts w:asciiTheme="minorHAnsi" w:hAnsiTheme="minorHAnsi" w:cstheme="minorHAnsi"/>
          <w:color w:val="auto"/>
        </w:rPr>
        <w:t>L</w:t>
      </w:r>
      <w:r w:rsidRPr="00FF113E">
        <w:rPr>
          <w:rFonts w:asciiTheme="minorHAnsi" w:hAnsiTheme="minorHAnsi" w:cstheme="minorHAnsi"/>
          <w:color w:val="auto"/>
        </w:rPr>
        <w:t>e budget annexe « Indemnisation Immeuble Le Signal »</w:t>
      </w:r>
    </w:p>
    <w:p w14:paraId="1BE250D9" w14:textId="17F57897" w:rsidR="004F1215" w:rsidRPr="0034320A" w:rsidRDefault="0034320A" w:rsidP="0067459C">
      <w:pPr>
        <w:jc w:val="both"/>
      </w:pPr>
      <w:r>
        <w:t xml:space="preserve">Créé en 2019 pour accueillir la subvention de 7 millions d’euros de l’Etat nécessaire à la résolution de l’indemnisation des copropriétaires de l’immeuble Le Signal, ce budget annexe est devenu sans objet du fait de la modification </w:t>
      </w:r>
      <w:r w:rsidR="0067459C">
        <w:t>du dispositif d’indemnisation qui interviendra exclusivement par la voie étatique. Ce budget annexe sera donc cl</w:t>
      </w:r>
      <w:r w:rsidR="00C832CC">
        <w:t>os</w:t>
      </w:r>
      <w:r w:rsidR="0067459C">
        <w:t xml:space="preserve"> en 2021.</w:t>
      </w:r>
    </w:p>
    <w:sectPr w:rsidR="004F1215" w:rsidRPr="0034320A" w:rsidSect="00424406">
      <w:headerReference w:type="default" r:id="rId15"/>
      <w:footerReference w:type="default" r:id="rId16"/>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8A9D6" w14:textId="77777777" w:rsidR="00FD51E4" w:rsidRDefault="00FD51E4" w:rsidP="00FD51E4">
      <w:pPr>
        <w:spacing w:after="0" w:line="240" w:lineRule="auto"/>
      </w:pPr>
      <w:r>
        <w:separator/>
      </w:r>
    </w:p>
  </w:endnote>
  <w:endnote w:type="continuationSeparator" w:id="0">
    <w:p w14:paraId="5BB8D86D" w14:textId="77777777" w:rsidR="00FD51E4" w:rsidRDefault="00FD51E4" w:rsidP="00FD5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Khmer UI">
    <w:altName w:val="Khmer UI"/>
    <w:charset w:val="00"/>
    <w:family w:val="swiss"/>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4504568"/>
      <w:docPartObj>
        <w:docPartGallery w:val="Page Numbers (Bottom of Page)"/>
        <w:docPartUnique/>
      </w:docPartObj>
    </w:sdtPr>
    <w:sdtContent>
      <w:p w14:paraId="1CEF8835" w14:textId="09B970C4" w:rsidR="00FD51E4" w:rsidRDefault="00FD51E4">
        <w:pPr>
          <w:pStyle w:val="Pieddepage"/>
          <w:jc w:val="center"/>
        </w:pPr>
        <w:r>
          <w:fldChar w:fldCharType="begin"/>
        </w:r>
        <w:r>
          <w:instrText>PAGE   \* MERGEFORMAT</w:instrText>
        </w:r>
        <w:r>
          <w:fldChar w:fldCharType="separate"/>
        </w:r>
        <w:r>
          <w:t>2</w:t>
        </w:r>
        <w:r>
          <w:fldChar w:fldCharType="end"/>
        </w:r>
      </w:p>
    </w:sdtContent>
  </w:sdt>
  <w:p w14:paraId="5415B87E" w14:textId="77777777" w:rsidR="00FD51E4" w:rsidRDefault="00FD51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00B55" w14:textId="77777777" w:rsidR="00FD51E4" w:rsidRDefault="00FD51E4" w:rsidP="00FD51E4">
      <w:pPr>
        <w:spacing w:after="0" w:line="240" w:lineRule="auto"/>
      </w:pPr>
      <w:r>
        <w:separator/>
      </w:r>
    </w:p>
  </w:footnote>
  <w:footnote w:type="continuationSeparator" w:id="0">
    <w:p w14:paraId="76408197" w14:textId="77777777" w:rsidR="00FD51E4" w:rsidRDefault="00FD51E4" w:rsidP="00FD51E4">
      <w:pPr>
        <w:spacing w:after="0" w:line="240" w:lineRule="auto"/>
      </w:pPr>
      <w:r>
        <w:continuationSeparator/>
      </w:r>
    </w:p>
  </w:footnote>
  <w:footnote w:id="1">
    <w:p w14:paraId="2D9664B5" w14:textId="77777777" w:rsidR="00A069C7" w:rsidRDefault="00807EF3" w:rsidP="00807EF3">
      <w:pPr>
        <w:pStyle w:val="Notedebasdepage"/>
      </w:pPr>
      <w:r>
        <w:rPr>
          <w:rStyle w:val="Appelnotedebasdep"/>
        </w:rPr>
        <w:footnoteRef/>
      </w:r>
      <w:r>
        <w:t xml:space="preserve"> </w:t>
      </w:r>
    </w:p>
    <w:p w14:paraId="0BCE3F99" w14:textId="55437761" w:rsidR="00807EF3" w:rsidRDefault="00807EF3" w:rsidP="00807EF3">
      <w:pPr>
        <w:pStyle w:val="Notedebasdepage"/>
      </w:pPr>
      <w:r>
        <w:t>T</w:t>
      </w:r>
      <w:r>
        <w:t>aux C</w:t>
      </w:r>
      <w:r>
        <w:t>otisation Foncière des Entreprises 2020</w:t>
      </w:r>
      <w:r>
        <w:t>:</w:t>
      </w:r>
      <w:r w:rsidR="00A069C7">
        <w:tab/>
      </w:r>
      <w:r w:rsidR="00A069C7">
        <w:tab/>
      </w:r>
      <w:r>
        <w:t>26,18 %</w:t>
      </w:r>
    </w:p>
    <w:p w14:paraId="026A91D9" w14:textId="260437FF" w:rsidR="00807EF3" w:rsidRDefault="00807EF3" w:rsidP="00807EF3">
      <w:pPr>
        <w:pStyle w:val="Notedebasdepage"/>
      </w:pPr>
      <w:r>
        <w:t>T</w:t>
      </w:r>
      <w:r>
        <w:t>aux T</w:t>
      </w:r>
      <w:r>
        <w:t>axe Foncière sur les propriétés bâties</w:t>
      </w:r>
      <w:r>
        <w:t xml:space="preserve"> </w:t>
      </w:r>
      <w:r>
        <w:t>2020</w:t>
      </w:r>
      <w:r>
        <w:t>:</w:t>
      </w:r>
      <w:r w:rsidR="00A069C7">
        <w:tab/>
      </w:r>
      <w:r w:rsidR="00A069C7">
        <w:tab/>
        <w:t xml:space="preserve">  </w:t>
      </w:r>
      <w:r>
        <w:t>0,00 %</w:t>
      </w:r>
    </w:p>
    <w:p w14:paraId="20155088" w14:textId="49B46147" w:rsidR="00807EF3" w:rsidRDefault="00807EF3" w:rsidP="00807EF3">
      <w:pPr>
        <w:pStyle w:val="Notedebasdepage"/>
      </w:pPr>
      <w:r>
        <w:t>T</w:t>
      </w:r>
      <w:r>
        <w:t xml:space="preserve">aux </w:t>
      </w:r>
      <w:r w:rsidRPr="00807EF3">
        <w:t xml:space="preserve">Taxe Foncière sur les propriétés </w:t>
      </w:r>
      <w:r>
        <w:t xml:space="preserve">non </w:t>
      </w:r>
      <w:r w:rsidRPr="00807EF3">
        <w:t>bâtie</w:t>
      </w:r>
      <w:r>
        <w:t>s</w:t>
      </w:r>
      <w:r w:rsidRPr="00807EF3">
        <w:t xml:space="preserve"> 2020</w:t>
      </w:r>
      <w:r>
        <w:t>:</w:t>
      </w:r>
      <w:r w:rsidR="00A069C7">
        <w:tab/>
        <w:t xml:space="preserve">  </w:t>
      </w:r>
      <w:r>
        <w:t>1,98 %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36B96" w14:textId="18405870" w:rsidR="00FD51E4" w:rsidRDefault="00FD51E4">
    <w:pPr>
      <w:pStyle w:val="En-tte"/>
      <w:jc w:val="center"/>
    </w:pPr>
  </w:p>
  <w:p w14:paraId="43835862" w14:textId="77777777" w:rsidR="00FD51E4" w:rsidRDefault="00FD51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1723C"/>
    <w:multiLevelType w:val="hybridMultilevel"/>
    <w:tmpl w:val="FA10ED2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1B659D5"/>
    <w:multiLevelType w:val="multilevel"/>
    <w:tmpl w:val="21E0F408"/>
    <w:lvl w:ilvl="0">
      <w:start w:val="1"/>
      <w:numFmt w:val="decimal"/>
      <w:pStyle w:val="Titre1"/>
      <w:lvlText w:val="%1"/>
      <w:lvlJc w:val="left"/>
      <w:pPr>
        <w:ind w:left="432" w:hanging="432"/>
      </w:pPr>
    </w:lvl>
    <w:lvl w:ilvl="1">
      <w:start w:val="1"/>
      <w:numFmt w:val="decimal"/>
      <w:pStyle w:val="Titre2"/>
      <w:lvlText w:val="%1.%2"/>
      <w:lvlJc w:val="left"/>
      <w:pPr>
        <w:ind w:left="576" w:hanging="576"/>
      </w:pPr>
      <w:rPr>
        <w:rFonts w:asciiTheme="minorHAnsi" w:hAnsiTheme="minorHAnsi" w:cstheme="minorHAnsi" w:hint="default"/>
        <w:color w:val="auto"/>
        <w:sz w:val="26"/>
        <w:szCs w:val="26"/>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567B62EE"/>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7EB61A1"/>
    <w:multiLevelType w:val="hybridMultilevel"/>
    <w:tmpl w:val="7484532C"/>
    <w:lvl w:ilvl="0" w:tplc="040C0005">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406"/>
    <w:rsid w:val="000846CE"/>
    <w:rsid w:val="000D03F4"/>
    <w:rsid w:val="001B0F9C"/>
    <w:rsid w:val="0023556D"/>
    <w:rsid w:val="0026462D"/>
    <w:rsid w:val="0028125F"/>
    <w:rsid w:val="002F567A"/>
    <w:rsid w:val="002F7CE9"/>
    <w:rsid w:val="0034320A"/>
    <w:rsid w:val="003A1A61"/>
    <w:rsid w:val="00424406"/>
    <w:rsid w:val="00475D7F"/>
    <w:rsid w:val="0048661E"/>
    <w:rsid w:val="004A0720"/>
    <w:rsid w:val="004F1215"/>
    <w:rsid w:val="00523CDC"/>
    <w:rsid w:val="00593F4F"/>
    <w:rsid w:val="005F3AE0"/>
    <w:rsid w:val="00604CEF"/>
    <w:rsid w:val="006060B9"/>
    <w:rsid w:val="00622F9D"/>
    <w:rsid w:val="006341D4"/>
    <w:rsid w:val="0067459C"/>
    <w:rsid w:val="006A3F3A"/>
    <w:rsid w:val="006D49C3"/>
    <w:rsid w:val="006D75F6"/>
    <w:rsid w:val="0070025E"/>
    <w:rsid w:val="007D57DA"/>
    <w:rsid w:val="007E3DDF"/>
    <w:rsid w:val="007E6D9A"/>
    <w:rsid w:val="00807EF3"/>
    <w:rsid w:val="008253B6"/>
    <w:rsid w:val="00863E10"/>
    <w:rsid w:val="009D44AC"/>
    <w:rsid w:val="00A067F0"/>
    <w:rsid w:val="00A069C7"/>
    <w:rsid w:val="00A76466"/>
    <w:rsid w:val="00A855A2"/>
    <w:rsid w:val="00AD1F98"/>
    <w:rsid w:val="00BA4520"/>
    <w:rsid w:val="00BA75C4"/>
    <w:rsid w:val="00C06F6C"/>
    <w:rsid w:val="00C33256"/>
    <w:rsid w:val="00C531C4"/>
    <w:rsid w:val="00C832CC"/>
    <w:rsid w:val="00D33B17"/>
    <w:rsid w:val="00D53112"/>
    <w:rsid w:val="00D541EE"/>
    <w:rsid w:val="00E82E3E"/>
    <w:rsid w:val="00EE7A45"/>
    <w:rsid w:val="00F31471"/>
    <w:rsid w:val="00F40BD3"/>
    <w:rsid w:val="00F55502"/>
    <w:rsid w:val="00F95AA2"/>
    <w:rsid w:val="00FD51E4"/>
    <w:rsid w:val="00FF11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8F323"/>
  <w15:chartTrackingRefBased/>
  <w15:docId w15:val="{2A8F8974-E7D8-45F7-BBB7-5E435D83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341D4"/>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341D4"/>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6341D4"/>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6341D4"/>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6341D4"/>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6341D4"/>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341D4"/>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341D4"/>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341D4"/>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2">
    <w:name w:val="Style2"/>
    <w:uiPriority w:val="99"/>
    <w:rsid w:val="002F567A"/>
    <w:pPr>
      <w:numPr>
        <w:numId w:val="1"/>
      </w:numPr>
    </w:pPr>
  </w:style>
  <w:style w:type="table" w:styleId="Grilledutableau">
    <w:name w:val="Table Grid"/>
    <w:basedOn w:val="TableauNormal"/>
    <w:uiPriority w:val="39"/>
    <w:rsid w:val="00604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76466"/>
    <w:pPr>
      <w:ind w:left="720"/>
      <w:contextualSpacing/>
    </w:pPr>
  </w:style>
  <w:style w:type="character" w:customStyle="1" w:styleId="Titre1Car">
    <w:name w:val="Titre 1 Car"/>
    <w:basedOn w:val="Policepardfaut"/>
    <w:link w:val="Titre1"/>
    <w:uiPriority w:val="9"/>
    <w:rsid w:val="006341D4"/>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341D4"/>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sid w:val="006341D4"/>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6341D4"/>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341D4"/>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6341D4"/>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341D4"/>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341D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341D4"/>
    <w:rPr>
      <w:rFonts w:asciiTheme="majorHAnsi" w:eastAsiaTheme="majorEastAsia" w:hAnsiTheme="majorHAnsi" w:cstheme="majorBidi"/>
      <w:i/>
      <w:iCs/>
      <w:color w:val="272727" w:themeColor="text1" w:themeTint="D8"/>
      <w:sz w:val="21"/>
      <w:szCs w:val="21"/>
    </w:rPr>
  </w:style>
  <w:style w:type="paragraph" w:styleId="En-tte">
    <w:name w:val="header"/>
    <w:basedOn w:val="Normal"/>
    <w:link w:val="En-tteCar"/>
    <w:uiPriority w:val="99"/>
    <w:unhideWhenUsed/>
    <w:rsid w:val="00FD51E4"/>
    <w:pPr>
      <w:tabs>
        <w:tab w:val="center" w:pos="4536"/>
        <w:tab w:val="right" w:pos="9072"/>
      </w:tabs>
      <w:spacing w:after="0" w:line="240" w:lineRule="auto"/>
    </w:pPr>
  </w:style>
  <w:style w:type="character" w:customStyle="1" w:styleId="En-tteCar">
    <w:name w:val="En-tête Car"/>
    <w:basedOn w:val="Policepardfaut"/>
    <w:link w:val="En-tte"/>
    <w:uiPriority w:val="99"/>
    <w:rsid w:val="00FD51E4"/>
  </w:style>
  <w:style w:type="paragraph" w:styleId="Pieddepage">
    <w:name w:val="footer"/>
    <w:basedOn w:val="Normal"/>
    <w:link w:val="PieddepageCar"/>
    <w:uiPriority w:val="99"/>
    <w:unhideWhenUsed/>
    <w:rsid w:val="00FD51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D51E4"/>
  </w:style>
  <w:style w:type="paragraph" w:styleId="Notedebasdepage">
    <w:name w:val="footnote text"/>
    <w:basedOn w:val="Normal"/>
    <w:link w:val="NotedebasdepageCar"/>
    <w:uiPriority w:val="99"/>
    <w:semiHidden/>
    <w:unhideWhenUsed/>
    <w:rsid w:val="00807EF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07EF3"/>
    <w:rPr>
      <w:sz w:val="20"/>
      <w:szCs w:val="20"/>
    </w:rPr>
  </w:style>
  <w:style w:type="character" w:styleId="Appelnotedebasdep">
    <w:name w:val="footnote reference"/>
    <w:basedOn w:val="Policepardfaut"/>
    <w:uiPriority w:val="99"/>
    <w:semiHidden/>
    <w:unhideWhenUsed/>
    <w:rsid w:val="00807E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837713">
      <w:bodyDiv w:val="1"/>
      <w:marLeft w:val="0"/>
      <w:marRight w:val="0"/>
      <w:marTop w:val="0"/>
      <w:marBottom w:val="0"/>
      <w:divBdr>
        <w:top w:val="none" w:sz="0" w:space="0" w:color="auto"/>
        <w:left w:val="none" w:sz="0" w:space="0" w:color="auto"/>
        <w:bottom w:val="none" w:sz="0" w:space="0" w:color="auto"/>
        <w:right w:val="none" w:sz="0" w:space="0" w:color="auto"/>
      </w:divBdr>
    </w:div>
    <w:div w:id="1342705117">
      <w:bodyDiv w:val="1"/>
      <w:marLeft w:val="0"/>
      <w:marRight w:val="0"/>
      <w:marTop w:val="0"/>
      <w:marBottom w:val="0"/>
      <w:divBdr>
        <w:top w:val="none" w:sz="0" w:space="0" w:color="auto"/>
        <w:left w:val="none" w:sz="0" w:space="0" w:color="auto"/>
        <w:bottom w:val="none" w:sz="0" w:space="0" w:color="auto"/>
        <w:right w:val="none" w:sz="0" w:space="0" w:color="auto"/>
      </w:divBdr>
    </w:div>
    <w:div w:id="208286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3.em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fr-FR" sz="1600"/>
              <a:t>Dépenses</a:t>
            </a:r>
            <a:r>
              <a:rPr lang="fr-FR" sz="1600" baseline="0"/>
              <a:t> de fonctionnement </a:t>
            </a:r>
            <a:endParaRPr lang="fr-FR" sz="1600"/>
          </a:p>
        </c:rich>
      </c:tx>
      <c:layout>
        <c:manualLayout>
          <c:xMode val="edge"/>
          <c:yMode val="edge"/>
          <c:x val="0.56689566929133872"/>
          <c:y val="4.1666666666666664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fr-FR"/>
        </a:p>
      </c:tx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08DB-496E-AE93-27C18590B5B2}"/>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08DB-496E-AE93-27C18590B5B2}"/>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08DB-496E-AE93-27C18590B5B2}"/>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08DB-496E-AE93-27C18590B5B2}"/>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08DB-496E-AE93-27C18590B5B2}"/>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08DB-496E-AE93-27C18590B5B2}"/>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D-08DB-496E-AE93-27C18590B5B2}"/>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F-08DB-496E-AE93-27C18590B5B2}"/>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1-08DB-496E-AE93-27C18590B5B2}"/>
              </c:ext>
            </c:extLst>
          </c:dPt>
          <c:dLbls>
            <c:dLbl>
              <c:idx val="0"/>
              <c:layout>
                <c:manualLayout>
                  <c:x val="4.7206387933902541E-2"/>
                  <c:y val="-1.878012199694550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8DB-496E-AE93-27C18590B5B2}"/>
                </c:ext>
              </c:extLst>
            </c:dLbl>
            <c:dLbl>
              <c:idx val="1"/>
              <c:layout>
                <c:manualLayout>
                  <c:x val="6.9250674651584049E-3"/>
                  <c:y val="-0.13961219786551071"/>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8DB-496E-AE93-27C18590B5B2}"/>
                </c:ext>
              </c:extLst>
            </c:dLbl>
            <c:dLbl>
              <c:idx val="2"/>
              <c:layout>
                <c:manualLayout>
                  <c:x val="6.6064101142286794E-2"/>
                  <c:y val="7.3438228757989549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8DB-496E-AE93-27C18590B5B2}"/>
                </c:ext>
              </c:extLst>
            </c:dLbl>
            <c:dLbl>
              <c:idx val="4"/>
              <c:layout>
                <c:manualLayout>
                  <c:x val="3.3269749731987708E-2"/>
                  <c:y val="0.10543590587761896"/>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8DB-496E-AE93-27C18590B5B2}"/>
                </c:ext>
              </c:extLst>
            </c:dLbl>
            <c:dLbl>
              <c:idx val="5"/>
              <c:layout>
                <c:manualLayout>
                  <c:x val="-6.3953273446463758E-5"/>
                  <c:y val="1.8137214555497744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08DB-496E-AE93-27C18590B5B2}"/>
                </c:ext>
              </c:extLst>
            </c:dLbl>
            <c:dLbl>
              <c:idx val="6"/>
              <c:layout>
                <c:manualLayout>
                  <c:x val="8.9990203689327572E-2"/>
                  <c:y val="-0.21805102106139174"/>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08DB-496E-AE93-27C18590B5B2}"/>
                </c:ext>
              </c:extLst>
            </c:dLbl>
            <c:dLbl>
              <c:idx val="7"/>
              <c:layout>
                <c:manualLayout>
                  <c:x val="-8.0737045719752321E-2"/>
                  <c:y val="1.4423628080972462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08DB-496E-AE93-27C18590B5B2}"/>
                </c:ext>
              </c:extLst>
            </c:dLbl>
            <c:dLbl>
              <c:idx val="8"/>
              <c:layout>
                <c:manualLayout>
                  <c:x val="-3.0507374958411888E-2"/>
                  <c:y val="-3.922032611777188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08DB-496E-AE93-27C18590B5B2}"/>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fr-FR"/>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Feuil1!$A$4:$A$12</c:f>
              <c:strCache>
                <c:ptCount val="9"/>
                <c:pt idx="0">
                  <c:v>011 - Charges à caractère général</c:v>
                </c:pt>
                <c:pt idx="1">
                  <c:v>012 - Charges de personnel et frais assimilés</c:v>
                </c:pt>
                <c:pt idx="2">
                  <c:v>014 - Atténuations de produits</c:v>
                </c:pt>
                <c:pt idx="3">
                  <c:v>022 - Dépenses imprévues ( fonctionnement )</c:v>
                </c:pt>
                <c:pt idx="4">
                  <c:v>023 - Virement à la section d'investissement</c:v>
                </c:pt>
                <c:pt idx="5">
                  <c:v>042 - Opérations d'ordre de transfert entre sections</c:v>
                </c:pt>
                <c:pt idx="6">
                  <c:v>65 - Autres charges de gestion courante</c:v>
                </c:pt>
                <c:pt idx="7">
                  <c:v>66 - Charges financières</c:v>
                </c:pt>
                <c:pt idx="8">
                  <c:v>67 - Charges exceptionnelles</c:v>
                </c:pt>
              </c:strCache>
            </c:strRef>
          </c:cat>
          <c:val>
            <c:numRef>
              <c:f>Feuil1!$B$4:$B$12</c:f>
              <c:numCache>
                <c:formatCode>"€"#,##0.00_);[Red]\("€"#,##0.00\)</c:formatCode>
                <c:ptCount val="9"/>
                <c:pt idx="0">
                  <c:v>1726362.28</c:v>
                </c:pt>
                <c:pt idx="1">
                  <c:v>2259074.8199999998</c:v>
                </c:pt>
                <c:pt idx="2">
                  <c:v>7790131.8100000005</c:v>
                </c:pt>
                <c:pt idx="3">
                  <c:v>0</c:v>
                </c:pt>
                <c:pt idx="4">
                  <c:v>0</c:v>
                </c:pt>
                <c:pt idx="5">
                  <c:v>521676.25</c:v>
                </c:pt>
                <c:pt idx="6">
                  <c:v>5882773.25</c:v>
                </c:pt>
                <c:pt idx="7">
                  <c:v>252941.31</c:v>
                </c:pt>
                <c:pt idx="8">
                  <c:v>255</c:v>
                </c:pt>
              </c:numCache>
            </c:numRef>
          </c:val>
          <c:extLst>
            <c:ext xmlns:c16="http://schemas.microsoft.com/office/drawing/2014/chart" uri="{C3380CC4-5D6E-409C-BE32-E72D297353CC}">
              <c16:uniqueId val="{00000012-08DB-496E-AE93-27C18590B5B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dk1">
          <a:lumMod val="25000"/>
          <a:lumOff val="7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r>
              <a:rPr lang="fr-FR" sz="1600"/>
              <a:t>Recettes de fonctionnement</a:t>
            </a:r>
          </a:p>
        </c:rich>
      </c:tx>
      <c:layout>
        <c:manualLayout>
          <c:xMode val="edge"/>
          <c:yMode val="edge"/>
          <c:x val="0.54863836464886329"/>
          <c:y val="3.6180669723976815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endParaRPr lang="fr-FR"/>
        </a:p>
      </c:txPr>
    </c:title>
    <c:autoTitleDeleted val="0"/>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DDF-4534-9C25-8FD138A66132}"/>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DDF-4534-9C25-8FD138A66132}"/>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DDF-4534-9C25-8FD138A66132}"/>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2DDF-4534-9C25-8FD138A66132}"/>
              </c:ext>
            </c:extLst>
          </c:dPt>
          <c:dPt>
            <c:idx val="4"/>
            <c:bubble3D val="0"/>
            <c:explosion val="4"/>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2DDF-4534-9C25-8FD138A66132}"/>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2DDF-4534-9C25-8FD138A66132}"/>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D-2DDF-4534-9C25-8FD138A66132}"/>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F-2DDF-4534-9C25-8FD138A66132}"/>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1-2DDF-4534-9C25-8FD138A66132}"/>
              </c:ext>
            </c:extLst>
          </c:dPt>
          <c:dLbls>
            <c:dLbl>
              <c:idx val="0"/>
              <c:layout>
                <c:manualLayout>
                  <c:x val="4.2206877336955315E-2"/>
                  <c:y val="5.066601844260992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DDF-4534-9C25-8FD138A66132}"/>
                </c:ext>
              </c:extLst>
            </c:dLbl>
            <c:dLbl>
              <c:idx val="1"/>
              <c:layout>
                <c:manualLayout>
                  <c:x val="7.2734914468622666E-2"/>
                  <c:y val="9.755295418581144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DDF-4534-9C25-8FD138A66132}"/>
                </c:ext>
              </c:extLst>
            </c:dLbl>
            <c:dLbl>
              <c:idx val="2"/>
              <c:layout>
                <c:manualLayout>
                  <c:x val="2.5378424500315026E-2"/>
                  <c:y val="1.343444357590890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DDF-4534-9C25-8FD138A66132}"/>
                </c:ext>
              </c:extLst>
            </c:dLbl>
            <c:dLbl>
              <c:idx val="3"/>
              <c:layout>
                <c:manualLayout>
                  <c:x val="6.0731552102428692E-2"/>
                  <c:y val="0.14031445221889638"/>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DDF-4534-9C25-8FD138A66132}"/>
                </c:ext>
              </c:extLst>
            </c:dLbl>
            <c:dLbl>
              <c:idx val="4"/>
              <c:layout>
                <c:manualLayout>
                  <c:x val="6.1226165922397352E-2"/>
                  <c:y val="-0.25794473784660576"/>
                </c:manualLayout>
              </c:layout>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endParaRPr lang="fr-FR"/>
                </a:p>
              </c:txPr>
              <c:dLblPos val="bestFit"/>
              <c:showLegendKey val="0"/>
              <c:showVal val="0"/>
              <c:showCatName val="0"/>
              <c:showSerName val="0"/>
              <c:showPercent val="1"/>
              <c:showBubbleSize val="0"/>
              <c:extLst>
                <c:ext xmlns:c15="http://schemas.microsoft.com/office/drawing/2012/chart" uri="{CE6537A1-D6FC-4f65-9D91-7224C49458BB}">
                  <c15:layout>
                    <c:manualLayout>
                      <c:w val="7.7969073310280676E-2"/>
                      <c:h val="5.3150181524742095E-2"/>
                    </c:manualLayout>
                  </c15:layout>
                </c:ext>
                <c:ext xmlns:c16="http://schemas.microsoft.com/office/drawing/2014/chart" uri="{C3380CC4-5D6E-409C-BE32-E72D297353CC}">
                  <c16:uniqueId val="{00000009-2DDF-4534-9C25-8FD138A66132}"/>
                </c:ext>
              </c:extLst>
            </c:dLbl>
            <c:dLbl>
              <c:idx val="5"/>
              <c:layout>
                <c:manualLayout>
                  <c:x val="-5.7159750387052059E-2"/>
                  <c:y val="2.6248625701448335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2DDF-4534-9C25-8FD138A66132}"/>
                </c:ext>
              </c:extLst>
            </c:dLbl>
            <c:dLbl>
              <c:idx val="6"/>
              <c:layout>
                <c:manualLayout>
                  <c:x val="-4.1575246399387419E-3"/>
                  <c:y val="-8.900084523332890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2DDF-4534-9C25-8FD138A66132}"/>
                </c:ext>
              </c:extLst>
            </c:dLbl>
            <c:dLbl>
              <c:idx val="7"/>
              <c:layout>
                <c:manualLayout>
                  <c:x val="-6.5597009963621861E-2"/>
                  <c:y val="-7.979828792587405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2DDF-4534-9C25-8FD138A66132}"/>
                </c:ext>
              </c:extLst>
            </c:dLbl>
            <c:dLbl>
              <c:idx val="8"/>
              <c:layout>
                <c:manualLayout>
                  <c:x val="2.9190214311268954E-2"/>
                  <c:y val="-3.66427713484966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2DDF-4534-9C25-8FD138A66132}"/>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fr-FR"/>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Feuil1!$A$14:$A$22</c:f>
              <c:strCache>
                <c:ptCount val="9"/>
                <c:pt idx="0">
                  <c:v>002 - Résultat de fonctionnement reporté (excédent ou déficit)</c:v>
                </c:pt>
                <c:pt idx="1">
                  <c:v>013 - Atténuations de charges</c:v>
                </c:pt>
                <c:pt idx="2">
                  <c:v>042 - Opérations d'ordre de transfert entre sections</c:v>
                </c:pt>
                <c:pt idx="3">
                  <c:v>70 - Produits des services, du domaine et ventes diverses</c:v>
                </c:pt>
                <c:pt idx="4">
                  <c:v>73 - Impôts et taxes</c:v>
                </c:pt>
                <c:pt idx="5">
                  <c:v>74 - Dotations, subventions et participations</c:v>
                </c:pt>
                <c:pt idx="6">
                  <c:v>75 - Autres produits de gestion courante</c:v>
                </c:pt>
                <c:pt idx="7">
                  <c:v>77 - Produits exceptionnels</c:v>
                </c:pt>
                <c:pt idx="8">
                  <c:v>78 - Reprises sur amortissements et provisions</c:v>
                </c:pt>
              </c:strCache>
            </c:strRef>
          </c:cat>
          <c:val>
            <c:numRef>
              <c:f>Feuil1!$B$14:$B$22</c:f>
              <c:numCache>
                <c:formatCode>"€"#,##0.00_);[Red]\("€"#,##0.00\)</c:formatCode>
                <c:ptCount val="9"/>
                <c:pt idx="0">
                  <c:v>3374036.31</c:v>
                </c:pt>
                <c:pt idx="1">
                  <c:v>54968.42</c:v>
                </c:pt>
                <c:pt idx="2">
                  <c:v>71646.210000000006</c:v>
                </c:pt>
                <c:pt idx="3">
                  <c:v>1327611.74</c:v>
                </c:pt>
                <c:pt idx="4">
                  <c:v>17013015.57</c:v>
                </c:pt>
                <c:pt idx="5">
                  <c:v>2294953.94</c:v>
                </c:pt>
                <c:pt idx="6">
                  <c:v>22502.760000000002</c:v>
                </c:pt>
                <c:pt idx="7">
                  <c:v>31991.850000000002</c:v>
                </c:pt>
                <c:pt idx="8">
                  <c:v>830000</c:v>
                </c:pt>
              </c:numCache>
            </c:numRef>
          </c:val>
          <c:extLst>
            <c:ext xmlns:c16="http://schemas.microsoft.com/office/drawing/2014/chart" uri="{C3380CC4-5D6E-409C-BE32-E72D297353CC}">
              <c16:uniqueId val="{00000012-2DDF-4534-9C25-8FD138A6613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dk1">
          <a:lumMod val="25000"/>
          <a:lumOff val="7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Encours de la dette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0"/>
          <c:order val="0"/>
          <c:tx>
            <c:strRef>
              <c:f>'Annuité dette 2021'!$A$19</c:f>
              <c:strCache>
                <c:ptCount val="1"/>
                <c:pt idx="0">
                  <c:v>Capital Restant Dû (au 01/01)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'Annuité dette 2021'!$B$18:$K$18</c:f>
              <c:strCache>
                <c:ptCount val="10"/>
                <c:pt idx="0">
                  <c:v>2017</c:v>
                </c:pt>
                <c:pt idx="1">
                  <c:v>2018</c:v>
                </c:pt>
                <c:pt idx="2">
                  <c:v>2019</c:v>
                </c:pt>
                <c:pt idx="3">
                  <c:v>2020</c:v>
                </c:pt>
                <c:pt idx="4">
                  <c:v>2021</c:v>
                </c:pt>
                <c:pt idx="5">
                  <c:v>2022</c:v>
                </c:pt>
                <c:pt idx="6">
                  <c:v>2023</c:v>
                </c:pt>
                <c:pt idx="7">
                  <c:v>2024</c:v>
                </c:pt>
                <c:pt idx="8">
                  <c:v>2025</c:v>
                </c:pt>
                <c:pt idx="9">
                  <c:v>2026</c:v>
                </c:pt>
              </c:strCache>
            </c:strRef>
          </c:cat>
          <c:val>
            <c:numRef>
              <c:f>'Annuité dette 2021'!$B$19:$K$19</c:f>
              <c:numCache>
                <c:formatCode>#\ ###\ ###\ ##0;[Red]\-#\ ###\ ###\ ##0</c:formatCode>
                <c:ptCount val="10"/>
                <c:pt idx="0">
                  <c:v>8929887.2400000002</c:v>
                </c:pt>
                <c:pt idx="1">
                  <c:v>8078037.1399999997</c:v>
                </c:pt>
                <c:pt idx="2">
                  <c:v>7197135.0099999998</c:v>
                </c:pt>
                <c:pt idx="3">
                  <c:v>6664772</c:v>
                </c:pt>
                <c:pt idx="4">
                  <c:v>5819235</c:v>
                </c:pt>
                <c:pt idx="5">
                  <c:v>5193125</c:v>
                </c:pt>
                <c:pt idx="6">
                  <c:v>4638832</c:v>
                </c:pt>
                <c:pt idx="7">
                  <c:v>4078494</c:v>
                </c:pt>
                <c:pt idx="8">
                  <c:v>3502131</c:v>
                </c:pt>
                <c:pt idx="9">
                  <c:v>2995247</c:v>
                </c:pt>
              </c:numCache>
            </c:numRef>
          </c:val>
          <c:smooth val="0"/>
          <c:extLst>
            <c:ext xmlns:c16="http://schemas.microsoft.com/office/drawing/2014/chart" uri="{C3380CC4-5D6E-409C-BE32-E72D297353CC}">
              <c16:uniqueId val="{00000000-760D-4B92-88FE-00128C94147B}"/>
            </c:ext>
          </c:extLst>
        </c:ser>
        <c:dLbls>
          <c:showLegendKey val="0"/>
          <c:showVal val="0"/>
          <c:showCatName val="0"/>
          <c:showSerName val="0"/>
          <c:showPercent val="0"/>
          <c:showBubbleSize val="0"/>
        </c:dLbls>
        <c:marker val="1"/>
        <c:smooth val="0"/>
        <c:axId val="402104632"/>
        <c:axId val="402100040"/>
      </c:lineChart>
      <c:catAx>
        <c:axId val="402104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02100040"/>
        <c:crosses val="autoZero"/>
        <c:auto val="1"/>
        <c:lblAlgn val="ctr"/>
        <c:lblOffset val="100"/>
        <c:noMultiLvlLbl val="0"/>
      </c:catAx>
      <c:valAx>
        <c:axId val="402100040"/>
        <c:scaling>
          <c:orientation val="minMax"/>
        </c:scaling>
        <c:delete val="0"/>
        <c:axPos val="l"/>
        <c:majorGridlines>
          <c:spPr>
            <a:ln w="9525" cap="flat" cmpd="sng" algn="ctr">
              <a:solidFill>
                <a:schemeClr val="tx1">
                  <a:lumMod val="15000"/>
                  <a:lumOff val="85000"/>
                </a:schemeClr>
              </a:solidFill>
              <a:round/>
            </a:ln>
            <a:effectLst/>
          </c:spPr>
        </c:majorGridlines>
        <c:numFmt formatCode="#\ ###\ ###\ ##0;[Red]\-#\ ###\ ###\ ##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021046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Evolution de l'annuité de la dette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stacked"/>
        <c:varyColors val="0"/>
        <c:ser>
          <c:idx val="0"/>
          <c:order val="0"/>
          <c:tx>
            <c:strRef>
              <c:f>'Annuité dette 2021'!$A$25</c:f>
              <c:strCache>
                <c:ptCount val="1"/>
                <c:pt idx="0">
                  <c:v>Remboursement en capital de la dette  </c:v>
                </c:pt>
              </c:strCache>
            </c:strRef>
          </c:tx>
          <c:spPr>
            <a:solidFill>
              <a:schemeClr val="accent1"/>
            </a:solidFill>
            <a:ln>
              <a:noFill/>
            </a:ln>
            <a:effectLst/>
          </c:spPr>
          <c:invertIfNegative val="0"/>
          <c:cat>
            <c:strRef>
              <c:f>'Annuité dette 2021'!$B$24:$K$24</c:f>
              <c:strCache>
                <c:ptCount val="10"/>
                <c:pt idx="0">
                  <c:v>2017</c:v>
                </c:pt>
                <c:pt idx="1">
                  <c:v>2018</c:v>
                </c:pt>
                <c:pt idx="2">
                  <c:v>2019</c:v>
                </c:pt>
                <c:pt idx="3">
                  <c:v>2020</c:v>
                </c:pt>
                <c:pt idx="4">
                  <c:v>2021</c:v>
                </c:pt>
                <c:pt idx="5">
                  <c:v>2022</c:v>
                </c:pt>
                <c:pt idx="6">
                  <c:v>2023</c:v>
                </c:pt>
                <c:pt idx="7">
                  <c:v>2024</c:v>
                </c:pt>
                <c:pt idx="8">
                  <c:v>2025</c:v>
                </c:pt>
                <c:pt idx="9">
                  <c:v>2026</c:v>
                </c:pt>
              </c:strCache>
            </c:strRef>
          </c:cat>
          <c:val>
            <c:numRef>
              <c:f>'Annuité dette 2021'!$B$25:$K$25</c:f>
              <c:numCache>
                <c:formatCode>#\ ###\ ###\ ##0;[Red]\-#\ ###\ ###\ ##0</c:formatCode>
                <c:ptCount val="10"/>
                <c:pt idx="0">
                  <c:v>851850.1</c:v>
                </c:pt>
                <c:pt idx="1">
                  <c:v>881625.96</c:v>
                </c:pt>
                <c:pt idx="2">
                  <c:v>782362.44</c:v>
                </c:pt>
                <c:pt idx="3">
                  <c:v>845537</c:v>
                </c:pt>
                <c:pt idx="4">
                  <c:v>626110</c:v>
                </c:pt>
                <c:pt idx="5">
                  <c:v>554292</c:v>
                </c:pt>
                <c:pt idx="6">
                  <c:v>560338</c:v>
                </c:pt>
                <c:pt idx="7">
                  <c:v>576362</c:v>
                </c:pt>
                <c:pt idx="8">
                  <c:v>506883</c:v>
                </c:pt>
                <c:pt idx="9">
                  <c:v>476054</c:v>
                </c:pt>
              </c:numCache>
            </c:numRef>
          </c:val>
          <c:extLst>
            <c:ext xmlns:c16="http://schemas.microsoft.com/office/drawing/2014/chart" uri="{C3380CC4-5D6E-409C-BE32-E72D297353CC}">
              <c16:uniqueId val="{00000000-AE53-4EED-8FE5-C8276A8BFD4B}"/>
            </c:ext>
          </c:extLst>
        </c:ser>
        <c:ser>
          <c:idx val="1"/>
          <c:order val="1"/>
          <c:tx>
            <c:strRef>
              <c:f>'Annuité dette 2021'!$A$26</c:f>
              <c:strCache>
                <c:ptCount val="1"/>
                <c:pt idx="0">
                  <c:v>Intérêts de la dette en cours </c:v>
                </c:pt>
              </c:strCache>
            </c:strRef>
          </c:tx>
          <c:spPr>
            <a:solidFill>
              <a:schemeClr val="accent2"/>
            </a:solidFill>
            <a:ln>
              <a:noFill/>
            </a:ln>
            <a:effectLst/>
          </c:spPr>
          <c:invertIfNegative val="0"/>
          <c:cat>
            <c:strRef>
              <c:f>'Annuité dette 2021'!$B$24:$K$24</c:f>
              <c:strCache>
                <c:ptCount val="10"/>
                <c:pt idx="0">
                  <c:v>2017</c:v>
                </c:pt>
                <c:pt idx="1">
                  <c:v>2018</c:v>
                </c:pt>
                <c:pt idx="2">
                  <c:v>2019</c:v>
                </c:pt>
                <c:pt idx="3">
                  <c:v>2020</c:v>
                </c:pt>
                <c:pt idx="4">
                  <c:v>2021</c:v>
                </c:pt>
                <c:pt idx="5">
                  <c:v>2022</c:v>
                </c:pt>
                <c:pt idx="6">
                  <c:v>2023</c:v>
                </c:pt>
                <c:pt idx="7">
                  <c:v>2024</c:v>
                </c:pt>
                <c:pt idx="8">
                  <c:v>2025</c:v>
                </c:pt>
                <c:pt idx="9">
                  <c:v>2026</c:v>
                </c:pt>
              </c:strCache>
            </c:strRef>
          </c:cat>
          <c:val>
            <c:numRef>
              <c:f>'Annuité dette 2021'!$B$26:$K$26</c:f>
              <c:numCache>
                <c:formatCode>#\ ###\ ###\ ##0;[Red]\-#\ ###\ ###\ ##0</c:formatCode>
                <c:ptCount val="10"/>
                <c:pt idx="0">
                  <c:v>370767.29</c:v>
                </c:pt>
                <c:pt idx="1">
                  <c:v>336880.8</c:v>
                </c:pt>
                <c:pt idx="2">
                  <c:v>302300.33</c:v>
                </c:pt>
                <c:pt idx="3">
                  <c:v>276267</c:v>
                </c:pt>
                <c:pt idx="4">
                  <c:v>244038</c:v>
                </c:pt>
                <c:pt idx="5">
                  <c:v>220454</c:v>
                </c:pt>
                <c:pt idx="6">
                  <c:v>198748</c:v>
                </c:pt>
                <c:pt idx="7">
                  <c:v>176541</c:v>
                </c:pt>
                <c:pt idx="8">
                  <c:v>153781</c:v>
                </c:pt>
                <c:pt idx="9">
                  <c:v>132359</c:v>
                </c:pt>
              </c:numCache>
            </c:numRef>
          </c:val>
          <c:extLst>
            <c:ext xmlns:c16="http://schemas.microsoft.com/office/drawing/2014/chart" uri="{C3380CC4-5D6E-409C-BE32-E72D297353CC}">
              <c16:uniqueId val="{00000001-AE53-4EED-8FE5-C8276A8BFD4B}"/>
            </c:ext>
          </c:extLst>
        </c:ser>
        <c:dLbls>
          <c:showLegendKey val="0"/>
          <c:showVal val="0"/>
          <c:showCatName val="0"/>
          <c:showSerName val="0"/>
          <c:showPercent val="0"/>
          <c:showBubbleSize val="0"/>
        </c:dLbls>
        <c:gapWidth val="150"/>
        <c:overlap val="100"/>
        <c:axId val="402627592"/>
        <c:axId val="402632512"/>
      </c:barChart>
      <c:catAx>
        <c:axId val="402627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02632512"/>
        <c:crosses val="autoZero"/>
        <c:auto val="1"/>
        <c:lblAlgn val="ctr"/>
        <c:lblOffset val="100"/>
        <c:noMultiLvlLbl val="0"/>
      </c:catAx>
      <c:valAx>
        <c:axId val="402632512"/>
        <c:scaling>
          <c:orientation val="minMax"/>
        </c:scaling>
        <c:delete val="0"/>
        <c:axPos val="l"/>
        <c:majorGridlines>
          <c:spPr>
            <a:ln w="9525" cap="flat" cmpd="sng" algn="ctr">
              <a:solidFill>
                <a:schemeClr val="tx1">
                  <a:lumMod val="15000"/>
                  <a:lumOff val="85000"/>
                </a:schemeClr>
              </a:solidFill>
              <a:round/>
            </a:ln>
            <a:effectLst/>
          </c:spPr>
        </c:majorGridlines>
        <c:numFmt formatCode="#\ ###\ ###\ ##0;[Red]\-#\ ###\ ###\ ##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026275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DC0FE-01EF-4F1E-837E-A599AD5FC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2398</Words>
  <Characters>13191</Characters>
  <Application>Microsoft Office Word</Application>
  <DocSecurity>0</DocSecurity>
  <Lines>109</Lines>
  <Paragraphs>31</Paragraphs>
  <ScaleCrop>false</ScaleCrop>
  <HeadingPairs>
    <vt:vector size="4" baseType="variant">
      <vt:variant>
        <vt:lpstr>Titre</vt:lpstr>
      </vt:variant>
      <vt:variant>
        <vt:i4>1</vt:i4>
      </vt:variant>
      <vt:variant>
        <vt:lpstr>Titres</vt:lpstr>
      </vt:variant>
      <vt:variant>
        <vt:i4>10</vt:i4>
      </vt:variant>
    </vt:vector>
  </HeadingPairs>
  <TitlesOfParts>
    <vt:vector size="11" baseType="lpstr">
      <vt:lpstr/>
      <vt:lpstr>BUDGET PRINCIPAL</vt:lpstr>
      <vt:lpstr>STRUCTURE ET GESTION DE LA DETTE CONTRACTEE</vt:lpstr>
      <vt:lpstr>BUDGETS ANNEXES</vt:lpstr>
      <vt:lpstr>    Le budget annexe « GEMAPI »</vt:lpstr>
      <vt:lpstr>    Le budget annexe « ZAE Les Bruyères »</vt:lpstr>
      <vt:lpstr>    Le budget annexe « ZAE Palu de Bert »</vt:lpstr>
      <vt:lpstr>    Le budget annexe « Extension ZAE Palu de Bert »</vt:lpstr>
      <vt:lpstr>    Le budget annexe « Extension ZAE La Meule »</vt:lpstr>
      <vt:lpstr>    Le budget annexe « ZAE du Guadet »</vt:lpstr>
      <vt:lpstr>    Le budget annexe « Indemnisation Immeuble Le Signal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2021-02-17T09:14:00Z</cp:lastPrinted>
  <dcterms:created xsi:type="dcterms:W3CDTF">2021-02-17T10:10:00Z</dcterms:created>
  <dcterms:modified xsi:type="dcterms:W3CDTF">2021-02-17T10:21:00Z</dcterms:modified>
</cp:coreProperties>
</file>